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EC7C" w14:textId="5C3033CF" w:rsidR="00DE11F1" w:rsidRPr="00B56FBD" w:rsidRDefault="00E266FB" w:rsidP="00057881">
      <w:pPr>
        <w:jc w:val="center"/>
        <w:rPr>
          <w:rFonts w:ascii="Times New Roman" w:hAnsi="Times New Roman" w:cs="Times New Roman"/>
          <w:b/>
          <w:bCs/>
          <w:color w:val="000000" w:themeColor="text1"/>
        </w:rPr>
      </w:pPr>
      <w:r w:rsidRPr="00B56FBD">
        <w:rPr>
          <w:rFonts w:ascii="Times New Roman" w:hAnsi="Times New Roman" w:cs="Times New Roman"/>
          <w:b/>
          <w:bCs/>
          <w:color w:val="000000" w:themeColor="text1"/>
        </w:rPr>
        <w:t>Neurodivergent Music Teacher Educators: Navigating the Journey from Graduate Student to Tenured Professor</w:t>
      </w:r>
    </w:p>
    <w:p w14:paraId="0BC4EA8A" w14:textId="11BCEC90" w:rsidR="00057881" w:rsidRPr="003C0184" w:rsidRDefault="004D76C7" w:rsidP="00FF356A">
      <w:pPr>
        <w:shd w:val="clear" w:color="auto" w:fill="FFFFFF"/>
        <w:spacing w:after="0" w:line="480" w:lineRule="auto"/>
        <w:ind w:firstLine="360"/>
        <w:rPr>
          <w:rFonts w:ascii="Times New Roman" w:hAnsi="Times New Roman" w:cs="Times New Roman"/>
        </w:rPr>
      </w:pPr>
      <w:r w:rsidRPr="003C0184">
        <w:rPr>
          <w:rFonts w:ascii="Times New Roman" w:hAnsi="Times New Roman" w:cs="Times New Roman"/>
        </w:rPr>
        <w:t xml:space="preserve">Numerous researchers have examined </w:t>
      </w:r>
      <w:r w:rsidR="00192D0F">
        <w:rPr>
          <w:rFonts w:ascii="Times New Roman" w:hAnsi="Times New Roman" w:cs="Times New Roman"/>
        </w:rPr>
        <w:t xml:space="preserve">the experiences of </w:t>
      </w:r>
      <w:r w:rsidRPr="003C0184">
        <w:rPr>
          <w:rFonts w:ascii="Times New Roman" w:hAnsi="Times New Roman" w:cs="Times New Roman"/>
        </w:rPr>
        <w:t>students with hidden disabilities (SwHD) in higher education settings</w:t>
      </w:r>
      <w:r w:rsidR="00192D0F">
        <w:rPr>
          <w:rFonts w:ascii="Times New Roman" w:hAnsi="Times New Roman" w:cs="Times New Roman"/>
        </w:rPr>
        <w:t xml:space="preserve"> </w:t>
      </w:r>
      <w:r w:rsidR="00045BB6" w:rsidRPr="003C0184">
        <w:rPr>
          <w:rFonts w:ascii="Times New Roman" w:hAnsi="Times New Roman" w:cs="Times New Roman"/>
        </w:rPr>
        <w:t>(</w:t>
      </w:r>
      <w:r w:rsidR="005B6529">
        <w:rPr>
          <w:rFonts w:ascii="Times New Roman" w:hAnsi="Times New Roman" w:cs="Times New Roman"/>
        </w:rPr>
        <w:t xml:space="preserve">e.g., </w:t>
      </w:r>
      <w:r w:rsidR="00045BB6" w:rsidRPr="003C0184">
        <w:rPr>
          <w:rFonts w:ascii="Times New Roman" w:hAnsi="Times New Roman" w:cs="Times New Roman"/>
        </w:rPr>
        <w:t xml:space="preserve">Abrahams et al., 2023; Parker &amp; Draves, 2017; Shine &amp; Stefanou, 2022; Valle-Flórez et al, 2021). </w:t>
      </w:r>
      <w:r w:rsidR="00672E19">
        <w:rPr>
          <w:rFonts w:ascii="Times New Roman" w:hAnsi="Times New Roman" w:cs="Times New Roman"/>
        </w:rPr>
        <w:t>F</w:t>
      </w:r>
      <w:r w:rsidR="00045BB6" w:rsidRPr="003C0184">
        <w:rPr>
          <w:rFonts w:ascii="Times New Roman" w:hAnsi="Times New Roman" w:cs="Times New Roman"/>
        </w:rPr>
        <w:t>ew</w:t>
      </w:r>
      <w:r w:rsidR="008C297F">
        <w:rPr>
          <w:rFonts w:ascii="Times New Roman" w:hAnsi="Times New Roman" w:cs="Times New Roman"/>
        </w:rPr>
        <w:t>er</w:t>
      </w:r>
      <w:r w:rsidR="00045BB6" w:rsidRPr="003C0184">
        <w:rPr>
          <w:rFonts w:ascii="Times New Roman" w:hAnsi="Times New Roman" w:cs="Times New Roman"/>
        </w:rPr>
        <w:t xml:space="preserve"> researchers have considered the experiences of professors with hidden disabilities </w:t>
      </w:r>
      <w:r w:rsidR="000D68D3" w:rsidRPr="003C0184">
        <w:rPr>
          <w:rFonts w:ascii="Times New Roman" w:hAnsi="Times New Roman" w:cs="Times New Roman"/>
        </w:rPr>
        <w:t>(PwHD)</w:t>
      </w:r>
      <w:r w:rsidR="00045BB6" w:rsidRPr="003C0184">
        <w:rPr>
          <w:rFonts w:ascii="Times New Roman" w:hAnsi="Times New Roman" w:cs="Times New Roman"/>
        </w:rPr>
        <w:t xml:space="preserve">. </w:t>
      </w:r>
      <w:r w:rsidR="000D68D3" w:rsidRPr="003C0184">
        <w:rPr>
          <w:rFonts w:ascii="Times New Roman" w:hAnsi="Times New Roman" w:cs="Times New Roman"/>
        </w:rPr>
        <w:t xml:space="preserve">Outside of music education, researchers </w:t>
      </w:r>
      <w:r w:rsidR="00FF356A">
        <w:rPr>
          <w:rFonts w:ascii="Times New Roman" w:hAnsi="Times New Roman" w:cs="Times New Roman"/>
        </w:rPr>
        <w:t>explored</w:t>
      </w:r>
      <w:r w:rsidR="00B56FBD">
        <w:rPr>
          <w:rFonts w:ascii="Times New Roman" w:hAnsi="Times New Roman" w:cs="Times New Roman"/>
        </w:rPr>
        <w:t xml:space="preserve"> </w:t>
      </w:r>
      <w:r w:rsidRPr="003C0184">
        <w:rPr>
          <w:rFonts w:ascii="Times New Roman" w:hAnsi="Times New Roman" w:cs="Times New Roman"/>
        </w:rPr>
        <w:t xml:space="preserve">issues </w:t>
      </w:r>
      <w:r w:rsidR="00672E19">
        <w:rPr>
          <w:rFonts w:ascii="Times New Roman" w:hAnsi="Times New Roman" w:cs="Times New Roman"/>
        </w:rPr>
        <w:t>PwHD</w:t>
      </w:r>
      <w:r w:rsidR="00B56FBD">
        <w:rPr>
          <w:rFonts w:ascii="Times New Roman" w:hAnsi="Times New Roman" w:cs="Times New Roman"/>
        </w:rPr>
        <w:t xml:space="preserve"> encountered </w:t>
      </w:r>
      <w:r w:rsidRPr="003C0184">
        <w:rPr>
          <w:rFonts w:ascii="Times New Roman" w:hAnsi="Times New Roman" w:cs="Times New Roman"/>
        </w:rPr>
        <w:t>regarding fear of disclosing disability status, stigma, workplace microaggressions, and insufficient accommodations</w:t>
      </w:r>
      <w:r w:rsidR="000D68D3" w:rsidRPr="003C0184">
        <w:rPr>
          <w:rFonts w:ascii="Times New Roman" w:hAnsi="Times New Roman" w:cs="Times New Roman"/>
        </w:rPr>
        <w:t xml:space="preserve"> (</w:t>
      </w:r>
      <w:r w:rsidR="005B6529">
        <w:rPr>
          <w:rFonts w:ascii="Times New Roman" w:hAnsi="Times New Roman" w:cs="Times New Roman"/>
        </w:rPr>
        <w:t xml:space="preserve">e.g., </w:t>
      </w:r>
      <w:r w:rsidR="000D68D3" w:rsidRPr="003C0184">
        <w:rPr>
          <w:rFonts w:ascii="Times New Roman" w:hAnsi="Times New Roman" w:cs="Times New Roman"/>
        </w:rPr>
        <w:t>Dw</w:t>
      </w:r>
      <w:r w:rsidR="00997BD6" w:rsidRPr="003C0184">
        <w:rPr>
          <w:rFonts w:ascii="Times New Roman" w:hAnsi="Times New Roman" w:cs="Times New Roman"/>
        </w:rPr>
        <w:t>y</w:t>
      </w:r>
      <w:r w:rsidR="000D68D3" w:rsidRPr="003C0184">
        <w:rPr>
          <w:rFonts w:ascii="Times New Roman" w:hAnsi="Times New Roman" w:cs="Times New Roman"/>
        </w:rPr>
        <w:t xml:space="preserve">er et al., 2023; Hoben &amp; Hesson, 2021; Vogel &amp; Sharoni, 2011). </w:t>
      </w:r>
      <w:r w:rsidR="0079798E" w:rsidRPr="003C0184">
        <w:rPr>
          <w:rFonts w:ascii="Times New Roman" w:hAnsi="Times New Roman" w:cs="Times New Roman"/>
        </w:rPr>
        <w:t xml:space="preserve">Little research regarding the experiences of </w:t>
      </w:r>
      <w:r w:rsidR="00672E19">
        <w:rPr>
          <w:rFonts w:ascii="Times New Roman" w:hAnsi="Times New Roman" w:cs="Times New Roman"/>
        </w:rPr>
        <w:t>P</w:t>
      </w:r>
      <w:r w:rsidR="00413B78">
        <w:rPr>
          <w:rFonts w:ascii="Times New Roman" w:hAnsi="Times New Roman" w:cs="Times New Roman"/>
        </w:rPr>
        <w:t>w</w:t>
      </w:r>
      <w:r w:rsidR="00672E19">
        <w:rPr>
          <w:rFonts w:ascii="Times New Roman" w:hAnsi="Times New Roman" w:cs="Times New Roman"/>
        </w:rPr>
        <w:t>H</w:t>
      </w:r>
      <w:r w:rsidR="00413B78">
        <w:rPr>
          <w:rFonts w:ascii="Times New Roman" w:hAnsi="Times New Roman" w:cs="Times New Roman"/>
        </w:rPr>
        <w:t>D</w:t>
      </w:r>
      <w:r w:rsidR="0079798E" w:rsidRPr="003C0184">
        <w:rPr>
          <w:rFonts w:ascii="Times New Roman" w:hAnsi="Times New Roman" w:cs="Times New Roman"/>
        </w:rPr>
        <w:t xml:space="preserve"> in music education exists. </w:t>
      </w:r>
      <w:r w:rsidR="00EF7B8B" w:rsidRPr="003C0184">
        <w:rPr>
          <w:rFonts w:ascii="Times New Roman" w:hAnsi="Times New Roman" w:cs="Times New Roman"/>
        </w:rPr>
        <w:t>Author</w:t>
      </w:r>
      <w:r w:rsidR="0079798E" w:rsidRPr="003C0184">
        <w:rPr>
          <w:rFonts w:ascii="Times New Roman" w:hAnsi="Times New Roman" w:cs="Times New Roman"/>
        </w:rPr>
        <w:t xml:space="preserve"> (202</w:t>
      </w:r>
      <w:r w:rsidRPr="003C0184">
        <w:rPr>
          <w:rFonts w:ascii="Times New Roman" w:hAnsi="Times New Roman" w:cs="Times New Roman"/>
        </w:rPr>
        <w:t>5</w:t>
      </w:r>
      <w:r w:rsidR="0079798E" w:rsidRPr="003C0184">
        <w:rPr>
          <w:rFonts w:ascii="Times New Roman" w:hAnsi="Times New Roman" w:cs="Times New Roman"/>
        </w:rPr>
        <w:t xml:space="preserve">) </w:t>
      </w:r>
      <w:r w:rsidR="00B56FBD">
        <w:rPr>
          <w:rFonts w:ascii="Times New Roman" w:hAnsi="Times New Roman" w:cs="Times New Roman"/>
        </w:rPr>
        <w:t>observed</w:t>
      </w:r>
      <w:r w:rsidR="0079798E" w:rsidRPr="003C0184">
        <w:rPr>
          <w:rFonts w:ascii="Times New Roman" w:hAnsi="Times New Roman" w:cs="Times New Roman"/>
        </w:rPr>
        <w:t xml:space="preserve"> secondary ensemble directors with ADHD</w:t>
      </w:r>
      <w:r w:rsidRPr="003C0184">
        <w:rPr>
          <w:rFonts w:ascii="Times New Roman" w:hAnsi="Times New Roman" w:cs="Times New Roman"/>
        </w:rPr>
        <w:t xml:space="preserve">, finding </w:t>
      </w:r>
      <w:r w:rsidR="0079798E" w:rsidRPr="003C0184">
        <w:rPr>
          <w:rFonts w:ascii="Times New Roman" w:hAnsi="Times New Roman" w:cs="Times New Roman"/>
        </w:rPr>
        <w:t>that personal experience with ADH</w:t>
      </w:r>
      <w:r w:rsidR="007F7520" w:rsidRPr="003C0184">
        <w:rPr>
          <w:rFonts w:ascii="Times New Roman" w:hAnsi="Times New Roman" w:cs="Times New Roman"/>
        </w:rPr>
        <w:t>D</w:t>
      </w:r>
      <w:r w:rsidR="0079798E" w:rsidRPr="003C0184">
        <w:rPr>
          <w:rFonts w:ascii="Times New Roman" w:hAnsi="Times New Roman" w:cs="Times New Roman"/>
        </w:rPr>
        <w:t xml:space="preserve"> allowed participants to develop empathy-based strategies that </w:t>
      </w:r>
      <w:r w:rsidR="005111E0">
        <w:rPr>
          <w:rFonts w:ascii="Times New Roman" w:hAnsi="Times New Roman" w:cs="Times New Roman"/>
        </w:rPr>
        <w:t>benefited</w:t>
      </w:r>
      <w:r w:rsidR="0079798E" w:rsidRPr="003C0184">
        <w:rPr>
          <w:rFonts w:ascii="Times New Roman" w:hAnsi="Times New Roman" w:cs="Times New Roman"/>
        </w:rPr>
        <w:t xml:space="preserve"> students with</w:t>
      </w:r>
      <w:r w:rsidR="00B1739A">
        <w:rPr>
          <w:rFonts w:ascii="Times New Roman" w:hAnsi="Times New Roman" w:cs="Times New Roman"/>
        </w:rPr>
        <w:t>/</w:t>
      </w:r>
      <w:r w:rsidR="0079798E" w:rsidRPr="003C0184">
        <w:rPr>
          <w:rFonts w:ascii="Times New Roman" w:hAnsi="Times New Roman" w:cs="Times New Roman"/>
        </w:rPr>
        <w:t xml:space="preserve">out disabilities. </w:t>
      </w:r>
      <w:r w:rsidRPr="003C0184">
        <w:rPr>
          <w:rFonts w:ascii="Times New Roman" w:hAnsi="Times New Roman" w:cs="Times New Roman"/>
        </w:rPr>
        <w:t>They</w:t>
      </w:r>
      <w:r w:rsidR="0079798E" w:rsidRPr="003C0184">
        <w:rPr>
          <w:rFonts w:ascii="Times New Roman" w:hAnsi="Times New Roman" w:cs="Times New Roman"/>
        </w:rPr>
        <w:t xml:space="preserve"> argued </w:t>
      </w:r>
      <w:r w:rsidR="00DB54CB">
        <w:rPr>
          <w:rFonts w:ascii="Times New Roman" w:hAnsi="Times New Roman" w:cs="Times New Roman"/>
        </w:rPr>
        <w:t>for the inclusion of</w:t>
      </w:r>
      <w:r w:rsidR="0079798E" w:rsidRPr="003C0184">
        <w:rPr>
          <w:rFonts w:ascii="Times New Roman" w:hAnsi="Times New Roman" w:cs="Times New Roman"/>
        </w:rPr>
        <w:t xml:space="preserve"> neurodivergent voices in </w:t>
      </w:r>
      <w:r w:rsidRPr="003C0184">
        <w:rPr>
          <w:rFonts w:ascii="Times New Roman" w:hAnsi="Times New Roman" w:cs="Times New Roman"/>
        </w:rPr>
        <w:t>preservice music educator preparation</w:t>
      </w:r>
      <w:r w:rsidR="0079798E" w:rsidRPr="003C0184">
        <w:rPr>
          <w:rFonts w:ascii="Times New Roman" w:hAnsi="Times New Roman" w:cs="Times New Roman"/>
        </w:rPr>
        <w:t xml:space="preserve">. </w:t>
      </w:r>
    </w:p>
    <w:p w14:paraId="7F31FC18" w14:textId="29A229F6" w:rsidR="004D76C7" w:rsidRPr="003C0184" w:rsidRDefault="004D76C7" w:rsidP="004D76C7">
      <w:pPr>
        <w:shd w:val="clear" w:color="auto" w:fill="FFFFFF"/>
        <w:spacing w:after="0" w:line="480" w:lineRule="auto"/>
        <w:ind w:firstLine="360"/>
        <w:rPr>
          <w:rFonts w:ascii="Times New Roman" w:hAnsi="Times New Roman" w:cs="Times New Roman"/>
        </w:rPr>
      </w:pPr>
      <w:r w:rsidRPr="003C0184">
        <w:rPr>
          <w:rFonts w:ascii="Times New Roman" w:hAnsi="Times New Roman" w:cs="Times New Roman"/>
        </w:rPr>
        <w:t xml:space="preserve">As little research on experiences of PwHD exists in music education, the purpose of this study is to examine the experiences of five neurodivergent (ND) music education faculty who are in different academic career stages (doctoral, pre-tenure, tenured). Questions guiding this </w:t>
      </w:r>
      <w:r w:rsidR="001426F2">
        <w:rPr>
          <w:rFonts w:ascii="Times New Roman" w:hAnsi="Times New Roman" w:cs="Times New Roman"/>
        </w:rPr>
        <w:t>inquiry</w:t>
      </w:r>
      <w:r w:rsidRPr="003C0184">
        <w:rPr>
          <w:rFonts w:ascii="Times New Roman" w:hAnsi="Times New Roman" w:cs="Times New Roman"/>
        </w:rPr>
        <w:t xml:space="preserve"> are:</w:t>
      </w:r>
      <w:r w:rsidR="006B609E">
        <w:rPr>
          <w:rFonts w:ascii="Times New Roman" w:hAnsi="Times New Roman" w:cs="Times New Roman"/>
        </w:rPr>
        <w:t xml:space="preserve"> </w:t>
      </w:r>
      <w:r w:rsidRPr="003C0184">
        <w:rPr>
          <w:rFonts w:ascii="Times New Roman" w:hAnsi="Times New Roman" w:cs="Times New Roman"/>
        </w:rPr>
        <w:t>1) What personal challenges and perceived advantages have we encountered as ND individuals in higher education? 2) What systems or structures have we experienced that have helped/hindered us as we navigate our careers? 3) How can our shared lived experiences guide music teacher educators in creating spaces where their ND students and colleagues can thrive?</w:t>
      </w:r>
    </w:p>
    <w:p w14:paraId="672C98A9" w14:textId="75D02477" w:rsidR="00464C3C" w:rsidRPr="003C0184" w:rsidRDefault="00464C3C" w:rsidP="00057881">
      <w:pPr>
        <w:shd w:val="clear" w:color="auto" w:fill="FFFFFF"/>
        <w:spacing w:after="0" w:line="240" w:lineRule="auto"/>
        <w:rPr>
          <w:rFonts w:ascii="Times New Roman" w:eastAsia="Times New Roman" w:hAnsi="Times New Roman" w:cs="Times New Roman"/>
          <w:b/>
          <w:bCs/>
          <w:color w:val="000000"/>
          <w:kern w:val="0"/>
          <w:shd w:val="clear" w:color="auto" w:fill="FFFFFF"/>
          <w14:ligatures w14:val="none"/>
        </w:rPr>
      </w:pPr>
      <w:r w:rsidRPr="003C0184">
        <w:rPr>
          <w:rFonts w:ascii="Times New Roman" w:eastAsia="Times New Roman" w:hAnsi="Times New Roman" w:cs="Times New Roman"/>
          <w:b/>
          <w:bCs/>
          <w:color w:val="000000"/>
          <w:kern w:val="0"/>
          <w:shd w:val="clear" w:color="auto" w:fill="FFFFFF"/>
          <w14:ligatures w14:val="none"/>
        </w:rPr>
        <w:t>Method and Data Analysis</w:t>
      </w:r>
    </w:p>
    <w:p w14:paraId="6B1C14BD" w14:textId="77777777" w:rsidR="00057881" w:rsidRPr="003C0184" w:rsidRDefault="00057881" w:rsidP="00057881">
      <w:pPr>
        <w:shd w:val="clear" w:color="auto" w:fill="FFFFFF"/>
        <w:spacing w:after="0" w:line="240" w:lineRule="auto"/>
        <w:rPr>
          <w:rFonts w:ascii="Times New Roman" w:hAnsi="Times New Roman" w:cs="Times New Roman"/>
        </w:rPr>
      </w:pPr>
    </w:p>
    <w:p w14:paraId="34E97605" w14:textId="6A68DA1C" w:rsidR="00464C3C" w:rsidRPr="003C0184" w:rsidRDefault="00464C3C" w:rsidP="00464C3C">
      <w:pPr>
        <w:spacing w:after="0" w:line="480" w:lineRule="auto"/>
        <w:ind w:firstLine="720"/>
        <w:rPr>
          <w:rFonts w:ascii="Times New Roman" w:eastAsia="Times New Roman" w:hAnsi="Times New Roman" w:cs="Times New Roman"/>
          <w:kern w:val="0"/>
          <w14:ligatures w14:val="none"/>
        </w:rPr>
      </w:pPr>
      <w:r w:rsidRPr="003C0184">
        <w:rPr>
          <w:rFonts w:ascii="Times New Roman" w:eastAsia="Times New Roman" w:hAnsi="Times New Roman" w:cs="Times New Roman"/>
          <w:color w:val="000000"/>
          <w:kern w:val="0"/>
          <w14:ligatures w14:val="none"/>
        </w:rPr>
        <w:t xml:space="preserve">For this study, we </w:t>
      </w:r>
      <w:r w:rsidR="00B638A3" w:rsidRPr="003C0184">
        <w:rPr>
          <w:rFonts w:ascii="Times New Roman" w:eastAsia="Times New Roman" w:hAnsi="Times New Roman" w:cs="Times New Roman"/>
          <w:color w:val="000000"/>
          <w:kern w:val="0"/>
          <w14:ligatures w14:val="none"/>
        </w:rPr>
        <w:t>employed</w:t>
      </w:r>
      <w:r w:rsidRPr="003C0184">
        <w:rPr>
          <w:rFonts w:ascii="Times New Roman" w:eastAsia="Times New Roman" w:hAnsi="Times New Roman" w:cs="Times New Roman"/>
          <w:color w:val="000000"/>
          <w:kern w:val="0"/>
          <w14:ligatures w14:val="none"/>
        </w:rPr>
        <w:t xml:space="preserve"> elements of </w:t>
      </w:r>
      <w:r w:rsidR="00B638A3" w:rsidRPr="003C0184">
        <w:rPr>
          <w:rFonts w:ascii="Times New Roman" w:eastAsia="Times New Roman" w:hAnsi="Times New Roman" w:cs="Times New Roman"/>
          <w:color w:val="000000"/>
          <w:kern w:val="0"/>
          <w14:ligatures w14:val="none"/>
        </w:rPr>
        <w:t>n</w:t>
      </w:r>
      <w:r w:rsidRPr="003C0184">
        <w:rPr>
          <w:rFonts w:ascii="Times New Roman" w:eastAsia="Times New Roman" w:hAnsi="Times New Roman" w:cs="Times New Roman"/>
          <w:color w:val="000000"/>
          <w:kern w:val="0"/>
          <w14:ligatures w14:val="none"/>
        </w:rPr>
        <w:t xml:space="preserve">arrative </w:t>
      </w:r>
      <w:r w:rsidR="00B638A3" w:rsidRPr="003C0184">
        <w:rPr>
          <w:rFonts w:ascii="Times New Roman" w:eastAsia="Times New Roman" w:hAnsi="Times New Roman" w:cs="Times New Roman"/>
          <w:color w:val="000000"/>
          <w:kern w:val="0"/>
          <w14:ligatures w14:val="none"/>
        </w:rPr>
        <w:t>i</w:t>
      </w:r>
      <w:r w:rsidRPr="003C0184">
        <w:rPr>
          <w:rFonts w:ascii="Times New Roman" w:eastAsia="Times New Roman" w:hAnsi="Times New Roman" w:cs="Times New Roman"/>
          <w:color w:val="000000"/>
          <w:kern w:val="0"/>
          <w14:ligatures w14:val="none"/>
        </w:rPr>
        <w:t xml:space="preserve">nquiry and </w:t>
      </w:r>
      <w:r w:rsidR="00B638A3" w:rsidRPr="003C0184">
        <w:rPr>
          <w:rFonts w:ascii="Times New Roman" w:eastAsia="Times New Roman" w:hAnsi="Times New Roman" w:cs="Times New Roman"/>
          <w:color w:val="000000"/>
          <w:kern w:val="0"/>
          <w14:ligatures w14:val="none"/>
        </w:rPr>
        <w:t>e</w:t>
      </w:r>
      <w:r w:rsidRPr="003C0184">
        <w:rPr>
          <w:rFonts w:ascii="Times New Roman" w:eastAsia="Times New Roman" w:hAnsi="Times New Roman" w:cs="Times New Roman"/>
          <w:color w:val="000000"/>
          <w:kern w:val="0"/>
          <w14:ligatures w14:val="none"/>
        </w:rPr>
        <w:t xml:space="preserve">mancipatory </w:t>
      </w:r>
      <w:r w:rsidR="00B638A3" w:rsidRPr="003C0184">
        <w:rPr>
          <w:rFonts w:ascii="Times New Roman" w:eastAsia="Times New Roman" w:hAnsi="Times New Roman" w:cs="Times New Roman"/>
          <w:color w:val="000000"/>
          <w:kern w:val="0"/>
          <w14:ligatures w14:val="none"/>
        </w:rPr>
        <w:t>r</w:t>
      </w:r>
      <w:r w:rsidRPr="003C0184">
        <w:rPr>
          <w:rFonts w:ascii="Times New Roman" w:eastAsia="Times New Roman" w:hAnsi="Times New Roman" w:cs="Times New Roman"/>
          <w:color w:val="000000"/>
          <w:kern w:val="0"/>
          <w14:ligatures w14:val="none"/>
        </w:rPr>
        <w:t>esearch (Barnes &amp; Sheldon, 2007; Clandinin</w:t>
      </w:r>
      <w:r w:rsidR="0077431B" w:rsidRPr="003C0184">
        <w:rPr>
          <w:rFonts w:ascii="Times New Roman" w:eastAsia="Times New Roman" w:hAnsi="Times New Roman" w:cs="Times New Roman"/>
          <w:color w:val="000000"/>
          <w:kern w:val="0"/>
          <w14:ligatures w14:val="none"/>
        </w:rPr>
        <w:t xml:space="preserve"> &amp; Huber,</w:t>
      </w:r>
      <w:r w:rsidRPr="003C0184">
        <w:rPr>
          <w:rFonts w:ascii="Times New Roman" w:eastAsia="Times New Roman" w:hAnsi="Times New Roman" w:cs="Times New Roman"/>
          <w:color w:val="000000"/>
          <w:kern w:val="0"/>
          <w14:ligatures w14:val="none"/>
        </w:rPr>
        <w:t xml:space="preserve"> 2010; </w:t>
      </w:r>
      <w:r w:rsidR="00B638A3" w:rsidRPr="003C0184">
        <w:rPr>
          <w:rFonts w:ascii="Times New Roman" w:eastAsia="Times New Roman" w:hAnsi="Times New Roman" w:cs="Times New Roman"/>
          <w:color w:val="000000"/>
          <w:kern w:val="0"/>
          <w14:ligatures w14:val="none"/>
        </w:rPr>
        <w:t xml:space="preserve">Clandinin &amp; Rosiek, 2007; </w:t>
      </w:r>
      <w:r w:rsidRPr="003C0184">
        <w:rPr>
          <w:rFonts w:ascii="Times New Roman" w:eastAsia="Times New Roman" w:hAnsi="Times New Roman" w:cs="Times New Roman"/>
          <w:color w:val="000000"/>
          <w:kern w:val="0"/>
          <w14:ligatures w14:val="none"/>
        </w:rPr>
        <w:t xml:space="preserve">Davis, 2004). In narrative inquiry, researchers </w:t>
      </w:r>
      <w:r w:rsidR="00282082">
        <w:rPr>
          <w:rFonts w:ascii="Times New Roman" w:eastAsia="Times New Roman" w:hAnsi="Times New Roman" w:cs="Times New Roman"/>
          <w:color w:val="000000"/>
          <w:kern w:val="0"/>
          <w14:ligatures w14:val="none"/>
        </w:rPr>
        <w:t>should</w:t>
      </w:r>
      <w:r w:rsidRPr="003C0184">
        <w:rPr>
          <w:rFonts w:ascii="Times New Roman" w:eastAsia="Times New Roman" w:hAnsi="Times New Roman" w:cs="Times New Roman"/>
          <w:color w:val="000000"/>
          <w:kern w:val="0"/>
          <w14:ligatures w14:val="none"/>
        </w:rPr>
        <w:t xml:space="preserve"> “consider and describe the particular methods used to study </w:t>
      </w:r>
      <w:r w:rsidRPr="003C0184">
        <w:rPr>
          <w:rFonts w:ascii="Times New Roman" w:eastAsia="Times New Roman" w:hAnsi="Times New Roman" w:cs="Times New Roman"/>
          <w:color w:val="000000"/>
          <w:kern w:val="0"/>
          <w14:ligatures w14:val="none"/>
        </w:rPr>
        <w:lastRenderedPageBreak/>
        <w:t xml:space="preserve">the phenomenon” (Clandinin et al., 2007, p. 27). Our phenomenon is </w:t>
      </w:r>
      <w:r w:rsidR="00E860A0">
        <w:rPr>
          <w:rFonts w:ascii="Times New Roman" w:eastAsia="Times New Roman" w:hAnsi="Times New Roman" w:cs="Times New Roman"/>
          <w:color w:val="000000"/>
          <w:kern w:val="0"/>
          <w14:ligatures w14:val="none"/>
        </w:rPr>
        <w:t>our shared</w:t>
      </w:r>
      <w:r w:rsidRPr="003C0184">
        <w:rPr>
          <w:rFonts w:ascii="Times New Roman" w:eastAsia="Times New Roman" w:hAnsi="Times New Roman" w:cs="Times New Roman"/>
          <w:color w:val="000000"/>
          <w:kern w:val="0"/>
          <w14:ligatures w14:val="none"/>
        </w:rPr>
        <w:t xml:space="preserve"> experience</w:t>
      </w:r>
      <w:r w:rsidR="00E860A0">
        <w:rPr>
          <w:rFonts w:ascii="Times New Roman" w:eastAsia="Times New Roman" w:hAnsi="Times New Roman" w:cs="Times New Roman"/>
          <w:color w:val="000000"/>
          <w:kern w:val="0"/>
          <w14:ligatures w14:val="none"/>
        </w:rPr>
        <w:t>s</w:t>
      </w:r>
      <w:r w:rsidRPr="003C0184">
        <w:rPr>
          <w:rFonts w:ascii="Times New Roman" w:eastAsia="Times New Roman" w:hAnsi="Times New Roman" w:cs="Times New Roman"/>
          <w:color w:val="000000"/>
          <w:kern w:val="0"/>
          <w14:ligatures w14:val="none"/>
        </w:rPr>
        <w:t xml:space="preserve"> of </w:t>
      </w:r>
      <w:r w:rsidR="00E860A0">
        <w:rPr>
          <w:rFonts w:ascii="Times New Roman" w:eastAsia="Times New Roman" w:hAnsi="Times New Roman" w:cs="Times New Roman"/>
          <w:color w:val="000000"/>
          <w:kern w:val="0"/>
          <w14:ligatures w14:val="none"/>
        </w:rPr>
        <w:t>higher education as PwHD. We retell our</w:t>
      </w:r>
      <w:r w:rsidR="000161AC" w:rsidRPr="003C0184">
        <w:rPr>
          <w:rFonts w:ascii="Times New Roman" w:eastAsia="Times New Roman" w:hAnsi="Times New Roman" w:cs="Times New Roman"/>
          <w:color w:val="000000"/>
          <w:kern w:val="0"/>
          <w14:ligatures w14:val="none"/>
        </w:rPr>
        <w:t xml:space="preserve"> stories</w:t>
      </w:r>
      <w:r w:rsidRPr="003C0184">
        <w:rPr>
          <w:rFonts w:ascii="Times New Roman" w:eastAsia="Times New Roman" w:hAnsi="Times New Roman" w:cs="Times New Roman"/>
          <w:color w:val="000000"/>
          <w:kern w:val="0"/>
          <w14:ligatures w14:val="none"/>
        </w:rPr>
        <w:t xml:space="preserve"> to provide insight</w:t>
      </w:r>
      <w:r w:rsidR="00E860A0">
        <w:rPr>
          <w:rFonts w:ascii="Times New Roman" w:eastAsia="Times New Roman" w:hAnsi="Times New Roman" w:cs="Times New Roman"/>
          <w:color w:val="000000"/>
          <w:kern w:val="0"/>
          <w14:ligatures w14:val="none"/>
        </w:rPr>
        <w:t xml:space="preserve"> </w:t>
      </w:r>
      <w:r w:rsidRPr="003C0184">
        <w:rPr>
          <w:rFonts w:ascii="Times New Roman" w:eastAsia="Times New Roman" w:hAnsi="Times New Roman" w:cs="Times New Roman"/>
          <w:color w:val="000000"/>
          <w:kern w:val="0"/>
          <w14:ligatures w14:val="none"/>
        </w:rPr>
        <w:t>and advocate for change with</w:t>
      </w:r>
      <w:r w:rsidR="004C12E9" w:rsidRPr="003C0184">
        <w:rPr>
          <w:rFonts w:ascii="Times New Roman" w:eastAsia="Times New Roman" w:hAnsi="Times New Roman" w:cs="Times New Roman"/>
          <w:color w:val="000000"/>
          <w:kern w:val="0"/>
          <w14:ligatures w14:val="none"/>
        </w:rPr>
        <w:t>in</w:t>
      </w:r>
      <w:r w:rsidRPr="003C0184">
        <w:rPr>
          <w:rFonts w:ascii="Times New Roman" w:eastAsia="Times New Roman" w:hAnsi="Times New Roman" w:cs="Times New Roman"/>
          <w:color w:val="000000"/>
          <w:kern w:val="0"/>
          <w14:ligatures w14:val="none"/>
        </w:rPr>
        <w:t xml:space="preserve"> higher education. </w:t>
      </w:r>
      <w:r w:rsidR="006732BA" w:rsidRPr="003C0184">
        <w:rPr>
          <w:rFonts w:ascii="Times New Roman" w:eastAsia="Times New Roman" w:hAnsi="Times New Roman" w:cs="Times New Roman"/>
          <w:color w:val="000000"/>
          <w:kern w:val="0"/>
          <w14:ligatures w14:val="none"/>
        </w:rPr>
        <w:t xml:space="preserve">Our study is emancipatory as the work and recommendations </w:t>
      </w:r>
      <w:r w:rsidR="000161AC" w:rsidRPr="003C0184">
        <w:rPr>
          <w:rFonts w:ascii="Times New Roman" w:eastAsia="Times New Roman" w:hAnsi="Times New Roman" w:cs="Times New Roman"/>
          <w:color w:val="000000"/>
          <w:kern w:val="0"/>
          <w14:ligatures w14:val="none"/>
        </w:rPr>
        <w:t>come</w:t>
      </w:r>
      <w:r w:rsidR="006732BA" w:rsidRPr="003C0184">
        <w:rPr>
          <w:rFonts w:ascii="Times New Roman" w:eastAsia="Times New Roman" w:hAnsi="Times New Roman" w:cs="Times New Roman"/>
          <w:color w:val="000000"/>
          <w:kern w:val="0"/>
          <w14:ligatures w14:val="none"/>
        </w:rPr>
        <w:t xml:space="preserve"> from </w:t>
      </w:r>
      <w:r w:rsidR="008A0E0D">
        <w:rPr>
          <w:rFonts w:ascii="Times New Roman" w:eastAsia="Times New Roman" w:hAnsi="Times New Roman" w:cs="Times New Roman"/>
          <w:color w:val="000000"/>
          <w:kern w:val="0"/>
          <w14:ligatures w14:val="none"/>
        </w:rPr>
        <w:t xml:space="preserve">PwHD </w:t>
      </w:r>
      <w:r w:rsidR="006732BA" w:rsidRPr="003C0184">
        <w:rPr>
          <w:rFonts w:ascii="Times New Roman" w:eastAsia="Times New Roman" w:hAnsi="Times New Roman" w:cs="Times New Roman"/>
          <w:color w:val="000000"/>
          <w:kern w:val="0"/>
          <w14:ligatures w14:val="none"/>
        </w:rPr>
        <w:t xml:space="preserve">navigating their disability within the institution. </w:t>
      </w:r>
    </w:p>
    <w:p w14:paraId="06528BA1" w14:textId="4B3C661C" w:rsidR="005076D1" w:rsidRPr="003C0184" w:rsidRDefault="006732BA" w:rsidP="00464C3C">
      <w:pPr>
        <w:spacing w:after="0" w:line="480" w:lineRule="auto"/>
        <w:ind w:firstLine="360"/>
        <w:rPr>
          <w:rFonts w:ascii="Times New Roman" w:eastAsia="Times New Roman" w:hAnsi="Times New Roman" w:cs="Times New Roman"/>
          <w:color w:val="000000"/>
          <w:kern w:val="0"/>
          <w14:ligatures w14:val="none"/>
        </w:rPr>
      </w:pPr>
      <w:r w:rsidRPr="003C0184">
        <w:rPr>
          <w:rFonts w:ascii="Times New Roman" w:eastAsia="Times New Roman" w:hAnsi="Times New Roman" w:cs="Times New Roman"/>
          <w:color w:val="000000"/>
          <w:kern w:val="0"/>
          <w14:ligatures w14:val="none"/>
        </w:rPr>
        <w:t xml:space="preserve">Data collection began in February of 2025 and </w:t>
      </w:r>
      <w:r w:rsidR="00464C3C" w:rsidRPr="003C0184">
        <w:rPr>
          <w:rFonts w:ascii="Times New Roman" w:eastAsia="Times New Roman" w:hAnsi="Times New Roman" w:cs="Times New Roman"/>
          <w:color w:val="000000"/>
          <w:kern w:val="0"/>
          <w14:ligatures w14:val="none"/>
        </w:rPr>
        <w:t xml:space="preserve">includes participant reflective journals, bi-monthly focus groups, </w:t>
      </w:r>
      <w:r w:rsidR="000161AC" w:rsidRPr="003C0184">
        <w:rPr>
          <w:rFonts w:ascii="Times New Roman" w:eastAsia="Times New Roman" w:hAnsi="Times New Roman" w:cs="Times New Roman"/>
          <w:color w:val="000000"/>
          <w:kern w:val="0"/>
          <w14:ligatures w14:val="none"/>
        </w:rPr>
        <w:t>and multiple modes of</w:t>
      </w:r>
      <w:r w:rsidR="00464C3C" w:rsidRPr="003C0184">
        <w:rPr>
          <w:rFonts w:ascii="Times New Roman" w:eastAsia="Times New Roman" w:hAnsi="Times New Roman" w:cs="Times New Roman"/>
          <w:color w:val="000000"/>
          <w:kern w:val="0"/>
          <w14:ligatures w14:val="none"/>
        </w:rPr>
        <w:t xml:space="preserve"> co</w:t>
      </w:r>
      <w:r w:rsidR="006B609E">
        <w:rPr>
          <w:rFonts w:ascii="Times New Roman" w:eastAsia="Times New Roman" w:hAnsi="Times New Roman" w:cs="Times New Roman"/>
          <w:color w:val="000000"/>
          <w:kern w:val="0"/>
          <w14:ligatures w14:val="none"/>
        </w:rPr>
        <w:t>mmunication</w:t>
      </w:r>
      <w:r w:rsidR="00464C3C" w:rsidRPr="003C0184">
        <w:rPr>
          <w:rFonts w:ascii="Times New Roman" w:eastAsia="Times New Roman" w:hAnsi="Times New Roman" w:cs="Times New Roman"/>
          <w:color w:val="000000"/>
          <w:kern w:val="0"/>
          <w14:ligatures w14:val="none"/>
        </w:rPr>
        <w:t xml:space="preserve">. </w:t>
      </w:r>
      <w:r w:rsidR="000161AC" w:rsidRPr="003C0184">
        <w:rPr>
          <w:rFonts w:ascii="Times New Roman" w:eastAsia="Times New Roman" w:hAnsi="Times New Roman" w:cs="Times New Roman"/>
          <w:color w:val="000000"/>
          <w:kern w:val="0"/>
          <w14:ligatures w14:val="none"/>
        </w:rPr>
        <w:t>Data collect</w:t>
      </w:r>
      <w:r w:rsidR="008A0E0D">
        <w:rPr>
          <w:rFonts w:ascii="Times New Roman" w:eastAsia="Times New Roman" w:hAnsi="Times New Roman" w:cs="Times New Roman"/>
          <w:color w:val="000000"/>
          <w:kern w:val="0"/>
          <w14:ligatures w14:val="none"/>
        </w:rPr>
        <w:t>ion</w:t>
      </w:r>
      <w:r w:rsidR="000161AC" w:rsidRPr="003C0184">
        <w:rPr>
          <w:rFonts w:ascii="Times New Roman" w:eastAsia="Times New Roman" w:hAnsi="Times New Roman" w:cs="Times New Roman"/>
          <w:color w:val="000000"/>
          <w:kern w:val="0"/>
          <w14:ligatures w14:val="none"/>
        </w:rPr>
        <w:t xml:space="preserve"> will be </w:t>
      </w:r>
      <w:r w:rsidR="00464C3C" w:rsidRPr="003C0184">
        <w:rPr>
          <w:rFonts w:ascii="Times New Roman" w:eastAsia="Times New Roman" w:hAnsi="Times New Roman" w:cs="Times New Roman"/>
          <w:color w:val="000000"/>
          <w:kern w:val="0"/>
          <w14:ligatures w14:val="none"/>
        </w:rPr>
        <w:t>completed by December 2025</w:t>
      </w:r>
      <w:r w:rsidR="008A0E0D">
        <w:rPr>
          <w:rFonts w:ascii="Times New Roman" w:eastAsia="Times New Roman" w:hAnsi="Times New Roman" w:cs="Times New Roman"/>
          <w:color w:val="000000"/>
          <w:kern w:val="0"/>
          <w14:ligatures w14:val="none"/>
        </w:rPr>
        <w:t xml:space="preserve">, </w:t>
      </w:r>
      <w:r w:rsidR="00464C3C" w:rsidRPr="003C0184">
        <w:rPr>
          <w:rFonts w:ascii="Times New Roman" w:eastAsia="Times New Roman" w:hAnsi="Times New Roman" w:cs="Times New Roman"/>
          <w:color w:val="000000"/>
          <w:kern w:val="0"/>
          <w14:ligatures w14:val="none"/>
        </w:rPr>
        <w:t xml:space="preserve">data analysis </w:t>
      </w:r>
      <w:r w:rsidR="008A0E0D">
        <w:rPr>
          <w:rFonts w:ascii="Times New Roman" w:eastAsia="Times New Roman" w:hAnsi="Times New Roman" w:cs="Times New Roman"/>
          <w:color w:val="000000"/>
          <w:kern w:val="0"/>
          <w14:ligatures w14:val="none"/>
        </w:rPr>
        <w:t>by</w:t>
      </w:r>
      <w:r w:rsidR="00464C3C" w:rsidRPr="003C0184">
        <w:rPr>
          <w:rFonts w:ascii="Times New Roman" w:eastAsia="Times New Roman" w:hAnsi="Times New Roman" w:cs="Times New Roman"/>
          <w:color w:val="000000"/>
          <w:kern w:val="0"/>
          <w14:ligatures w14:val="none"/>
        </w:rPr>
        <w:t xml:space="preserve"> February 2026. </w:t>
      </w:r>
      <w:r w:rsidR="00990E1C" w:rsidRPr="003C0184">
        <w:rPr>
          <w:rFonts w:ascii="Times New Roman" w:eastAsia="Times New Roman" w:hAnsi="Times New Roman" w:cs="Times New Roman"/>
          <w:color w:val="000000"/>
          <w:kern w:val="0"/>
          <w14:ligatures w14:val="none"/>
        </w:rPr>
        <w:t>In initial comparative analys</w:t>
      </w:r>
      <w:r w:rsidR="005076D1" w:rsidRPr="003C0184">
        <w:rPr>
          <w:rFonts w:ascii="Times New Roman" w:eastAsia="Times New Roman" w:hAnsi="Times New Roman" w:cs="Times New Roman"/>
          <w:color w:val="000000"/>
          <w:kern w:val="0"/>
          <w14:ligatures w14:val="none"/>
        </w:rPr>
        <w:t>e</w:t>
      </w:r>
      <w:r w:rsidR="00990E1C" w:rsidRPr="003C0184">
        <w:rPr>
          <w:rFonts w:ascii="Times New Roman" w:eastAsia="Times New Roman" w:hAnsi="Times New Roman" w:cs="Times New Roman"/>
          <w:color w:val="000000"/>
          <w:kern w:val="0"/>
          <w14:ligatures w14:val="none"/>
        </w:rPr>
        <w:t>s (Merriam, 1998)</w:t>
      </w:r>
      <w:r w:rsidR="0017638D" w:rsidRPr="003C0184">
        <w:rPr>
          <w:rFonts w:ascii="Times New Roman" w:eastAsia="Times New Roman" w:hAnsi="Times New Roman" w:cs="Times New Roman"/>
          <w:color w:val="000000"/>
          <w:kern w:val="0"/>
          <w14:ligatures w14:val="none"/>
        </w:rPr>
        <w:t xml:space="preserve"> theoretical framing</w:t>
      </w:r>
      <w:r w:rsidR="00AE38E4">
        <w:rPr>
          <w:rFonts w:ascii="Times New Roman" w:eastAsia="Times New Roman" w:hAnsi="Times New Roman" w:cs="Times New Roman"/>
          <w:color w:val="000000"/>
          <w:kern w:val="0"/>
          <w14:ligatures w14:val="none"/>
        </w:rPr>
        <w:t>s</w:t>
      </w:r>
      <w:r w:rsidR="0017638D" w:rsidRPr="003C0184">
        <w:rPr>
          <w:rFonts w:ascii="Times New Roman" w:eastAsia="Times New Roman" w:hAnsi="Times New Roman" w:cs="Times New Roman"/>
          <w:color w:val="000000"/>
          <w:kern w:val="0"/>
          <w14:ligatures w14:val="none"/>
        </w:rPr>
        <w:t xml:space="preserve"> of our study </w:t>
      </w:r>
      <w:r w:rsidR="00E12397" w:rsidRPr="003C0184">
        <w:rPr>
          <w:rFonts w:ascii="Times New Roman" w:eastAsia="Times New Roman" w:hAnsi="Times New Roman" w:cs="Times New Roman"/>
          <w:color w:val="000000"/>
          <w:kern w:val="0"/>
          <w14:ligatures w14:val="none"/>
        </w:rPr>
        <w:t>have</w:t>
      </w:r>
      <w:r w:rsidR="0017638D" w:rsidRPr="003C0184">
        <w:rPr>
          <w:rFonts w:ascii="Times New Roman" w:eastAsia="Times New Roman" w:hAnsi="Times New Roman" w:cs="Times New Roman"/>
          <w:color w:val="000000"/>
          <w:kern w:val="0"/>
          <w14:ligatures w14:val="none"/>
        </w:rPr>
        <w:t xml:space="preserve"> emerged. E</w:t>
      </w:r>
      <w:r w:rsidR="00F56D23">
        <w:rPr>
          <w:rFonts w:ascii="Times New Roman" w:eastAsia="Times New Roman" w:hAnsi="Times New Roman" w:cs="Times New Roman"/>
          <w:color w:val="000000"/>
          <w:kern w:val="0"/>
          <w14:ligatures w14:val="none"/>
        </w:rPr>
        <w:t>lements</w:t>
      </w:r>
      <w:r w:rsidR="0017638D" w:rsidRPr="003C0184">
        <w:rPr>
          <w:rFonts w:ascii="Times New Roman" w:eastAsia="Times New Roman" w:hAnsi="Times New Roman" w:cs="Times New Roman"/>
          <w:color w:val="000000"/>
          <w:kern w:val="0"/>
          <w14:ligatures w14:val="none"/>
        </w:rPr>
        <w:t xml:space="preserve"> of poststructuralis</w:t>
      </w:r>
      <w:r w:rsidR="00942E8F">
        <w:rPr>
          <w:rFonts w:ascii="Times New Roman" w:eastAsia="Times New Roman" w:hAnsi="Times New Roman" w:cs="Times New Roman"/>
          <w:color w:val="000000"/>
          <w:kern w:val="0"/>
          <w14:ligatures w14:val="none"/>
        </w:rPr>
        <w:t>m</w:t>
      </w:r>
      <w:r w:rsidR="0017638D" w:rsidRPr="003C0184">
        <w:rPr>
          <w:rFonts w:ascii="Times New Roman" w:eastAsia="Times New Roman" w:hAnsi="Times New Roman" w:cs="Times New Roman"/>
          <w:color w:val="000000"/>
          <w:kern w:val="0"/>
          <w14:ligatures w14:val="none"/>
        </w:rPr>
        <w:t xml:space="preserve"> (</w:t>
      </w:r>
      <w:proofErr w:type="spellStart"/>
      <w:r w:rsidR="003D5A17">
        <w:rPr>
          <w:rFonts w:ascii="Times New Roman" w:eastAsia="Times New Roman" w:hAnsi="Times New Roman" w:cs="Times New Roman"/>
          <w:color w:val="000000"/>
          <w:kern w:val="0"/>
          <w14:ligatures w14:val="none"/>
        </w:rPr>
        <w:t>Youdell</w:t>
      </w:r>
      <w:proofErr w:type="spellEnd"/>
      <w:r w:rsidR="003D5A17">
        <w:rPr>
          <w:rFonts w:ascii="Times New Roman" w:eastAsia="Times New Roman" w:hAnsi="Times New Roman" w:cs="Times New Roman"/>
          <w:color w:val="000000"/>
          <w:kern w:val="0"/>
          <w14:ligatures w14:val="none"/>
        </w:rPr>
        <w:t>, 2006</w:t>
      </w:r>
      <w:r w:rsidR="0017638D" w:rsidRPr="003C0184">
        <w:rPr>
          <w:rFonts w:ascii="Times New Roman" w:eastAsia="Times New Roman" w:hAnsi="Times New Roman" w:cs="Times New Roman"/>
          <w:color w:val="000000"/>
          <w:kern w:val="0"/>
          <w14:ligatures w14:val="none"/>
        </w:rPr>
        <w:t xml:space="preserve">), </w:t>
      </w:r>
      <w:r w:rsidR="0017638D" w:rsidRPr="003C0184">
        <w:rPr>
          <w:rFonts w:ascii="Times New Roman" w:eastAsia="Times New Roman" w:hAnsi="Times New Roman" w:cs="Times New Roman"/>
          <w:i/>
          <w:iCs/>
          <w:color w:val="000000"/>
          <w:kern w:val="0"/>
          <w14:ligatures w14:val="none"/>
        </w:rPr>
        <w:t>I &amp; Thou</w:t>
      </w:r>
      <w:r w:rsidR="00942E8F">
        <w:rPr>
          <w:rFonts w:ascii="Times New Roman" w:eastAsia="Times New Roman" w:hAnsi="Times New Roman" w:cs="Times New Roman"/>
          <w:color w:val="000000"/>
          <w:kern w:val="0"/>
          <w14:ligatures w14:val="none"/>
        </w:rPr>
        <w:t xml:space="preserve"> (Buber, 1923)</w:t>
      </w:r>
      <w:r w:rsidR="0017638D" w:rsidRPr="003C0184">
        <w:rPr>
          <w:rFonts w:ascii="Times New Roman" w:eastAsia="Times New Roman" w:hAnsi="Times New Roman" w:cs="Times New Roman"/>
          <w:color w:val="000000"/>
          <w:kern w:val="0"/>
          <w14:ligatures w14:val="none"/>
        </w:rPr>
        <w:t>, and materiality (</w:t>
      </w:r>
      <w:r w:rsidR="00774269">
        <w:rPr>
          <w:rFonts w:ascii="Times New Roman" w:eastAsia="Times New Roman" w:hAnsi="Times New Roman" w:cs="Times New Roman"/>
          <w:color w:val="000000"/>
          <w:kern w:val="0"/>
          <w14:ligatures w14:val="none"/>
        </w:rPr>
        <w:t>Garland-Thomson, 2016</w:t>
      </w:r>
      <w:r w:rsidR="0017638D" w:rsidRPr="003C0184">
        <w:rPr>
          <w:rFonts w:ascii="Times New Roman" w:eastAsia="Times New Roman" w:hAnsi="Times New Roman" w:cs="Times New Roman"/>
          <w:color w:val="000000"/>
          <w:kern w:val="0"/>
          <w14:ligatures w14:val="none"/>
        </w:rPr>
        <w:t xml:space="preserve">), </w:t>
      </w:r>
      <w:r w:rsidR="005076D1" w:rsidRPr="003C0184">
        <w:rPr>
          <w:rFonts w:ascii="Times New Roman" w:eastAsia="Times New Roman" w:hAnsi="Times New Roman" w:cs="Times New Roman"/>
          <w:color w:val="000000"/>
          <w:kern w:val="0"/>
          <w14:ligatures w14:val="none"/>
        </w:rPr>
        <w:t>w</w:t>
      </w:r>
      <w:r w:rsidR="00942E8F">
        <w:rPr>
          <w:rFonts w:ascii="Times New Roman" w:eastAsia="Times New Roman" w:hAnsi="Times New Roman" w:cs="Times New Roman"/>
          <w:color w:val="000000"/>
          <w:kern w:val="0"/>
          <w14:ligatures w14:val="none"/>
        </w:rPr>
        <w:t xml:space="preserve">ill guide </w:t>
      </w:r>
      <w:r w:rsidR="005076D1" w:rsidRPr="003C0184">
        <w:rPr>
          <w:rFonts w:ascii="Times New Roman" w:eastAsia="Times New Roman" w:hAnsi="Times New Roman" w:cs="Times New Roman"/>
          <w:color w:val="000000"/>
          <w:kern w:val="0"/>
          <w14:ligatures w14:val="none"/>
        </w:rPr>
        <w:t>re-story</w:t>
      </w:r>
      <w:r w:rsidR="00942E8F">
        <w:rPr>
          <w:rFonts w:ascii="Times New Roman" w:eastAsia="Times New Roman" w:hAnsi="Times New Roman" w:cs="Times New Roman"/>
          <w:color w:val="000000"/>
          <w:kern w:val="0"/>
          <w14:ligatures w14:val="none"/>
        </w:rPr>
        <w:t>ing</w:t>
      </w:r>
      <w:r w:rsidR="005076D1" w:rsidRPr="003C0184">
        <w:rPr>
          <w:rFonts w:ascii="Times New Roman" w:eastAsia="Times New Roman" w:hAnsi="Times New Roman" w:cs="Times New Roman"/>
          <w:color w:val="000000"/>
          <w:kern w:val="0"/>
          <w14:ligatures w14:val="none"/>
        </w:rPr>
        <w:t xml:space="preserve"> our shared experiences. </w:t>
      </w:r>
      <w:r w:rsidR="00B56FBD">
        <w:rPr>
          <w:rFonts w:ascii="Times New Roman" w:eastAsia="Times New Roman" w:hAnsi="Times New Roman" w:cs="Times New Roman"/>
          <w:color w:val="000000"/>
          <w:kern w:val="0"/>
          <w14:ligatures w14:val="none"/>
        </w:rPr>
        <w:t>T</w:t>
      </w:r>
      <w:r w:rsidR="005076D1" w:rsidRPr="003C0184">
        <w:rPr>
          <w:rFonts w:ascii="Times New Roman" w:eastAsia="Times New Roman" w:hAnsi="Times New Roman" w:cs="Times New Roman"/>
          <w:color w:val="000000"/>
          <w:kern w:val="0"/>
          <w14:ligatures w14:val="none"/>
        </w:rPr>
        <w:t xml:space="preserve">hemes, problematization of </w:t>
      </w:r>
      <w:r w:rsidR="00020ED9">
        <w:rPr>
          <w:rFonts w:ascii="Times New Roman" w:eastAsia="Times New Roman" w:hAnsi="Times New Roman" w:cs="Times New Roman"/>
          <w:color w:val="000000"/>
          <w:kern w:val="0"/>
          <w14:ligatures w14:val="none"/>
        </w:rPr>
        <w:t>institutional structures</w:t>
      </w:r>
      <w:r w:rsidR="005076D1" w:rsidRPr="003C0184">
        <w:rPr>
          <w:rFonts w:ascii="Times New Roman" w:eastAsia="Times New Roman" w:hAnsi="Times New Roman" w:cs="Times New Roman"/>
          <w:color w:val="000000"/>
          <w:kern w:val="0"/>
          <w14:ligatures w14:val="none"/>
        </w:rPr>
        <w:t xml:space="preserve">, and implications for higher education will be </w:t>
      </w:r>
      <w:r w:rsidR="00B56FBD">
        <w:rPr>
          <w:rFonts w:ascii="Times New Roman" w:eastAsia="Times New Roman" w:hAnsi="Times New Roman" w:cs="Times New Roman"/>
          <w:color w:val="000000"/>
          <w:kern w:val="0"/>
          <w14:ligatures w14:val="none"/>
        </w:rPr>
        <w:t>discussed</w:t>
      </w:r>
      <w:r w:rsidR="005076D1" w:rsidRPr="003C0184">
        <w:rPr>
          <w:rFonts w:ascii="Times New Roman" w:eastAsia="Times New Roman" w:hAnsi="Times New Roman" w:cs="Times New Roman"/>
          <w:color w:val="000000"/>
          <w:kern w:val="0"/>
          <w14:ligatures w14:val="none"/>
        </w:rPr>
        <w:t xml:space="preserve">. </w:t>
      </w:r>
    </w:p>
    <w:p w14:paraId="6232FC7D" w14:textId="11B24AD3" w:rsidR="00464C3C" w:rsidRDefault="001255F3" w:rsidP="00464C3C">
      <w:pPr>
        <w:spacing w:after="0" w:line="240" w:lineRule="auto"/>
        <w:rPr>
          <w:rFonts w:ascii="Times New Roman" w:eastAsia="Times New Roman" w:hAnsi="Times New Roman" w:cs="Times New Roman"/>
          <w:kern w:val="0"/>
          <w14:ligatures w14:val="none"/>
        </w:rPr>
      </w:pPr>
      <w:r w:rsidRPr="003C0184">
        <w:rPr>
          <w:rFonts w:ascii="Times New Roman" w:eastAsia="Times New Roman" w:hAnsi="Times New Roman" w:cs="Times New Roman"/>
          <w:b/>
          <w:bCs/>
          <w:kern w:val="0"/>
          <w14:ligatures w14:val="none"/>
        </w:rPr>
        <w:t>Word Count</w:t>
      </w:r>
      <w:r w:rsidRPr="003C0184">
        <w:rPr>
          <w:rFonts w:ascii="Times New Roman" w:eastAsia="Times New Roman" w:hAnsi="Times New Roman" w:cs="Times New Roman"/>
          <w:kern w:val="0"/>
          <w14:ligatures w14:val="none"/>
        </w:rPr>
        <w:t xml:space="preserve">: </w:t>
      </w:r>
      <w:r w:rsidR="00F56D23">
        <w:rPr>
          <w:rFonts w:ascii="Times New Roman" w:eastAsia="Times New Roman" w:hAnsi="Times New Roman" w:cs="Times New Roman"/>
          <w:kern w:val="0"/>
          <w14:ligatures w14:val="none"/>
        </w:rPr>
        <w:t>4</w:t>
      </w:r>
      <w:r w:rsidR="00DB54CB">
        <w:rPr>
          <w:rFonts w:ascii="Times New Roman" w:eastAsia="Times New Roman" w:hAnsi="Times New Roman" w:cs="Times New Roman"/>
          <w:kern w:val="0"/>
          <w14:ligatures w14:val="none"/>
        </w:rPr>
        <w:t>0</w:t>
      </w:r>
      <w:r w:rsidR="00A75580">
        <w:rPr>
          <w:rFonts w:ascii="Times New Roman" w:eastAsia="Times New Roman" w:hAnsi="Times New Roman" w:cs="Times New Roman"/>
          <w:kern w:val="0"/>
          <w14:ligatures w14:val="none"/>
        </w:rPr>
        <w:t>0</w:t>
      </w:r>
    </w:p>
    <w:p w14:paraId="08254C26" w14:textId="77777777" w:rsidR="00BC55C6" w:rsidRDefault="00BC55C6" w:rsidP="00464C3C">
      <w:pPr>
        <w:spacing w:after="0" w:line="240" w:lineRule="auto"/>
        <w:rPr>
          <w:rFonts w:ascii="Times New Roman" w:eastAsia="Times New Roman" w:hAnsi="Times New Roman" w:cs="Times New Roman"/>
          <w:kern w:val="0"/>
          <w14:ligatures w14:val="none"/>
        </w:rPr>
      </w:pPr>
    </w:p>
    <w:p w14:paraId="0039BC4C" w14:textId="77777777" w:rsidR="00BA07E7" w:rsidRPr="003C0184" w:rsidRDefault="00BA07E7" w:rsidP="00464C3C">
      <w:pPr>
        <w:spacing w:after="0" w:line="240" w:lineRule="auto"/>
        <w:rPr>
          <w:rFonts w:ascii="Times New Roman" w:eastAsia="Times New Roman" w:hAnsi="Times New Roman" w:cs="Times New Roman"/>
          <w:kern w:val="0"/>
          <w14:ligatures w14:val="none"/>
        </w:rPr>
      </w:pPr>
    </w:p>
    <w:p w14:paraId="3ADD9AD9" w14:textId="414D3297" w:rsidR="00DE11F1" w:rsidRPr="003C0184" w:rsidRDefault="001255F3" w:rsidP="001255F3">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kern w:val="0"/>
          <w14:ligatures w14:val="none"/>
        </w:rPr>
      </w:pPr>
      <w:r w:rsidRPr="003C0184">
        <w:rPr>
          <w:rFonts w:ascii="Times New Roman" w:eastAsia="Times New Roman" w:hAnsi="Times New Roman" w:cs="Times New Roman"/>
          <w:b/>
          <w:bCs/>
          <w:color w:val="000000" w:themeColor="text1"/>
          <w:kern w:val="0"/>
          <w14:ligatures w14:val="none"/>
        </w:rPr>
        <w:t>References</w:t>
      </w:r>
    </w:p>
    <w:p w14:paraId="491D7278" w14:textId="62D13852" w:rsidR="003C0184" w:rsidRPr="003C0184" w:rsidRDefault="003C0184" w:rsidP="003C0184">
      <w:p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3C0184">
        <w:rPr>
          <w:rFonts w:ascii="Times New Roman" w:eastAsia="Times New Roman" w:hAnsi="Times New Roman" w:cs="Times New Roman"/>
          <w:color w:val="000000" w:themeColor="text1"/>
          <w:kern w:val="0"/>
          <w14:ligatures w14:val="none"/>
        </w:rPr>
        <w:t xml:space="preserve">Author. (2025). Redacted for anonymity. </w:t>
      </w:r>
    </w:p>
    <w:p w14:paraId="09BD3ED6" w14:textId="4BE4DAA3"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Abrahams, D., </w:t>
      </w:r>
      <w:proofErr w:type="spellStart"/>
      <w:r w:rsidRPr="003C0184">
        <w:rPr>
          <w:color w:val="000000"/>
          <w:shd w:val="clear" w:color="auto" w:fill="FFFFFF"/>
        </w:rPr>
        <w:t>Batorowicz</w:t>
      </w:r>
      <w:proofErr w:type="spellEnd"/>
      <w:r w:rsidRPr="003C0184">
        <w:rPr>
          <w:color w:val="000000"/>
          <w:shd w:val="clear" w:color="auto" w:fill="FFFFFF"/>
        </w:rPr>
        <w:t xml:space="preserve">, B., </w:t>
      </w:r>
      <w:proofErr w:type="spellStart"/>
      <w:r w:rsidRPr="003C0184">
        <w:rPr>
          <w:color w:val="000000"/>
          <w:shd w:val="clear" w:color="auto" w:fill="FFFFFF"/>
        </w:rPr>
        <w:t>Ndaa</w:t>
      </w:r>
      <w:proofErr w:type="spellEnd"/>
      <w:r w:rsidRPr="003C0184">
        <w:rPr>
          <w:color w:val="000000"/>
          <w:shd w:val="clear" w:color="auto" w:fill="FFFFFF"/>
        </w:rPr>
        <w:t xml:space="preserve">, P., Gabriels, S., Abebe, S. M., Xu, X., &amp; Aldersey, H. M. (2023). “I’m not asking for special treatment, I’m asking for access”: Experiences of university students with disabilities in Ghana, Ethiopia and South Africa. </w:t>
      </w:r>
      <w:r w:rsidRPr="003C0184">
        <w:rPr>
          <w:i/>
          <w:iCs/>
          <w:color w:val="000000"/>
          <w:shd w:val="clear" w:color="auto" w:fill="FFFFFF"/>
        </w:rPr>
        <w:t>Disabilities</w:t>
      </w:r>
      <w:r w:rsidRPr="003C0184">
        <w:rPr>
          <w:color w:val="000000"/>
          <w:shd w:val="clear" w:color="auto" w:fill="FFFFFF"/>
        </w:rPr>
        <w:t xml:space="preserve">, </w:t>
      </w:r>
      <w:r w:rsidRPr="003C0184">
        <w:rPr>
          <w:i/>
          <w:iCs/>
          <w:color w:val="000000"/>
          <w:shd w:val="clear" w:color="auto" w:fill="FFFFFF"/>
        </w:rPr>
        <w:t>3</w:t>
      </w:r>
      <w:r w:rsidRPr="003C0184">
        <w:rPr>
          <w:color w:val="000000"/>
          <w:shd w:val="clear" w:color="auto" w:fill="FFFFFF"/>
        </w:rPr>
        <w:t>(1), 114–128. https://doi.org/10.3390/disabilities3010009</w:t>
      </w:r>
    </w:p>
    <w:p w14:paraId="3C205808" w14:textId="03228EDA" w:rsidR="003C0184" w:rsidRPr="003C0184" w:rsidRDefault="003C0184" w:rsidP="003C0184">
      <w:pPr>
        <w:pStyle w:val="ReferenceHanging"/>
        <w:spacing w:after="0"/>
        <w:rPr>
          <w:color w:val="000000" w:themeColor="text1"/>
        </w:rPr>
      </w:pPr>
      <w:r w:rsidRPr="003C0184">
        <w:rPr>
          <w:color w:val="000000" w:themeColor="text1"/>
        </w:rPr>
        <w:t xml:space="preserve">Barnes, C., &amp; Sheldon, A. (2007). ‘Emancipatory’ disability research and special education needs. In L. Florian (Ed.), </w:t>
      </w:r>
      <w:r w:rsidRPr="003C0184">
        <w:rPr>
          <w:i/>
          <w:iCs/>
          <w:color w:val="000000" w:themeColor="text1"/>
        </w:rPr>
        <w:t>The SAGE handbook of special education</w:t>
      </w:r>
      <w:r w:rsidRPr="003C0184">
        <w:rPr>
          <w:color w:val="000000" w:themeColor="text1"/>
        </w:rPr>
        <w:t xml:space="preserve"> (pp. 233–245). SAGE.</w:t>
      </w:r>
    </w:p>
    <w:p w14:paraId="3FDDFEE7" w14:textId="77777777" w:rsidR="003C0184" w:rsidRPr="003C0184" w:rsidRDefault="003C0184" w:rsidP="003C0184">
      <w:pPr>
        <w:pStyle w:val="ReferenceHanging"/>
        <w:spacing w:after="0"/>
        <w:rPr>
          <w:color w:val="000000" w:themeColor="text1"/>
        </w:rPr>
      </w:pPr>
    </w:p>
    <w:p w14:paraId="4288AF25" w14:textId="5FCEEA7B"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Beaton, C., Weeden, E., Roberts, A., &amp; Iwamoto, Y. (2024, November 11–13). </w:t>
      </w:r>
      <w:r w:rsidRPr="003C0184">
        <w:rPr>
          <w:i/>
          <w:iCs/>
          <w:color w:val="000000"/>
          <w:shd w:val="clear" w:color="auto" w:fill="FFFFFF"/>
        </w:rPr>
        <w:t>Being included: Institute benefits in supporting inclusivity for disabled faculty in higher education</w:t>
      </w:r>
      <w:r w:rsidRPr="003C0184">
        <w:rPr>
          <w:color w:val="000000"/>
          <w:shd w:val="clear" w:color="auto" w:fill="FFFFFF"/>
        </w:rPr>
        <w:t xml:space="preserve"> [Paper presentation]. 17</w:t>
      </w:r>
      <w:r w:rsidRPr="003C0184">
        <w:rPr>
          <w:color w:val="000000"/>
          <w:shd w:val="clear" w:color="auto" w:fill="FFFFFF"/>
          <w:vertAlign w:val="superscript"/>
        </w:rPr>
        <w:t>th</w:t>
      </w:r>
      <w:r w:rsidRPr="003C0184">
        <w:rPr>
          <w:color w:val="000000"/>
          <w:shd w:val="clear" w:color="auto" w:fill="FFFFFF"/>
        </w:rPr>
        <w:t xml:space="preserve"> Annual International Conference of Education, Research and Innovation, Seville, Spain. </w:t>
      </w:r>
    </w:p>
    <w:p w14:paraId="10B4065F" w14:textId="20064DC0"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Bell, J. S. (2002). Narrative inquiry: More than just telling stories. </w:t>
      </w:r>
      <w:r w:rsidRPr="003C0184">
        <w:rPr>
          <w:i/>
          <w:iCs/>
          <w:color w:val="000000"/>
          <w:shd w:val="clear" w:color="auto" w:fill="FFFFFF"/>
        </w:rPr>
        <w:t>TESOL Quarterly</w:t>
      </w:r>
      <w:r w:rsidRPr="003C0184">
        <w:rPr>
          <w:color w:val="000000"/>
          <w:shd w:val="clear" w:color="auto" w:fill="FFFFFF"/>
        </w:rPr>
        <w:t xml:space="preserve">, </w:t>
      </w:r>
      <w:r w:rsidRPr="003C0184">
        <w:rPr>
          <w:i/>
          <w:iCs/>
          <w:color w:val="000000"/>
          <w:shd w:val="clear" w:color="auto" w:fill="FFFFFF"/>
        </w:rPr>
        <w:t>36</w:t>
      </w:r>
      <w:r w:rsidRPr="003C0184">
        <w:rPr>
          <w:color w:val="000000"/>
          <w:shd w:val="clear" w:color="auto" w:fill="FFFFFF"/>
        </w:rPr>
        <w:t>(2), 207–213. https://doi.org/10.2307/3588331 </w:t>
      </w:r>
    </w:p>
    <w:p w14:paraId="65651B83" w14:textId="77777777" w:rsidR="003C0184" w:rsidRPr="003C0184" w:rsidRDefault="003C0184" w:rsidP="003C0184">
      <w:pPr>
        <w:pStyle w:val="ReferenceHanging"/>
        <w:spacing w:after="0"/>
        <w:rPr>
          <w:color w:val="000000" w:themeColor="text1"/>
        </w:rPr>
      </w:pPr>
      <w:r w:rsidRPr="003C0184">
        <w:rPr>
          <w:color w:val="000000" w:themeColor="text1"/>
        </w:rPr>
        <w:lastRenderedPageBreak/>
        <w:t xml:space="preserve">Buber, M. (1923). </w:t>
      </w:r>
      <w:r w:rsidRPr="003C0184">
        <w:rPr>
          <w:i/>
          <w:iCs/>
          <w:color w:val="000000" w:themeColor="text1"/>
        </w:rPr>
        <w:t>I and Thou</w:t>
      </w:r>
      <w:r w:rsidRPr="003C0184">
        <w:rPr>
          <w:color w:val="000000" w:themeColor="text1"/>
        </w:rPr>
        <w:t>. T. &amp; T. Clark.</w:t>
      </w:r>
    </w:p>
    <w:p w14:paraId="72DD68D9" w14:textId="77777777" w:rsidR="003C0184" w:rsidRPr="003C0184" w:rsidRDefault="003C0184" w:rsidP="003C0184">
      <w:pPr>
        <w:pStyle w:val="ReferenceHanging"/>
        <w:spacing w:after="0"/>
        <w:rPr>
          <w:color w:val="000000" w:themeColor="text1"/>
        </w:rPr>
      </w:pPr>
    </w:p>
    <w:p w14:paraId="330C3B21" w14:textId="0FE17AF5" w:rsidR="003C0184" w:rsidRPr="003C0184" w:rsidRDefault="003C0184" w:rsidP="003C0184">
      <w:pPr>
        <w:pStyle w:val="ReferenceHanging"/>
        <w:spacing w:after="0"/>
        <w:rPr>
          <w:rStyle w:val="anchor-text"/>
          <w:color w:val="000000" w:themeColor="text1"/>
        </w:rPr>
      </w:pPr>
      <w:r w:rsidRPr="003C0184">
        <w:rPr>
          <w:color w:val="000000" w:themeColor="text1"/>
        </w:rPr>
        <w:t xml:space="preserve">Clandinin, D. J., &amp; Huber, J. (2010). Narrative inquiry. In P. Peterson, E. Baker, &amp; B. McGaw (Eds.), </w:t>
      </w:r>
      <w:r w:rsidRPr="003C0184">
        <w:rPr>
          <w:i/>
          <w:iCs/>
          <w:color w:val="000000" w:themeColor="text1"/>
        </w:rPr>
        <w:t>International encyclopedia of education</w:t>
      </w:r>
      <w:r w:rsidRPr="003C0184">
        <w:rPr>
          <w:color w:val="000000" w:themeColor="text1"/>
        </w:rPr>
        <w:t xml:space="preserve"> (3</w:t>
      </w:r>
      <w:r w:rsidRPr="003C0184">
        <w:rPr>
          <w:color w:val="000000" w:themeColor="text1"/>
          <w:vertAlign w:val="superscript"/>
        </w:rPr>
        <w:t>rd</w:t>
      </w:r>
      <w:r w:rsidRPr="003C0184">
        <w:rPr>
          <w:color w:val="000000" w:themeColor="text1"/>
        </w:rPr>
        <w:t xml:space="preserve"> ed.), (pp. 436–441). </w:t>
      </w:r>
      <w:proofErr w:type="spellStart"/>
      <w:r w:rsidR="00D519C9">
        <w:rPr>
          <w:color w:val="000000" w:themeColor="text1"/>
        </w:rPr>
        <w:t>Elseiver</w:t>
      </w:r>
      <w:proofErr w:type="spellEnd"/>
      <w:r w:rsidR="00D519C9">
        <w:rPr>
          <w:color w:val="000000" w:themeColor="text1"/>
        </w:rPr>
        <w:t xml:space="preserve">. </w:t>
      </w:r>
      <w:r w:rsidRPr="003C0184">
        <w:rPr>
          <w:noProof/>
          <w:color w:val="000000" w:themeColor="text1"/>
        </w:rPr>
        <w:t>https://doi.org/10.1016/B978-0-08-044894-7.01387-7</w:t>
      </w:r>
    </w:p>
    <w:p w14:paraId="774522D9" w14:textId="77777777" w:rsidR="003C0184" w:rsidRPr="003C0184" w:rsidRDefault="003C0184" w:rsidP="003C0184">
      <w:pPr>
        <w:pStyle w:val="ReferenceHanging"/>
        <w:spacing w:after="0"/>
        <w:rPr>
          <w:color w:val="000000" w:themeColor="text1"/>
        </w:rPr>
      </w:pPr>
    </w:p>
    <w:p w14:paraId="3256D213" w14:textId="6B0CDE51" w:rsidR="003C0184" w:rsidRPr="003C0184" w:rsidRDefault="003C0184" w:rsidP="003C0184">
      <w:pPr>
        <w:pStyle w:val="ReferenceHanging"/>
        <w:spacing w:after="0"/>
        <w:rPr>
          <w:color w:val="000000" w:themeColor="text1"/>
        </w:rPr>
      </w:pPr>
      <w:r w:rsidRPr="003C0184">
        <w:rPr>
          <w:color w:val="000000" w:themeColor="text1"/>
        </w:rPr>
        <w:t xml:space="preserve">Clandinin, D. J., Pushor, D., &amp; Orr, A. M. (2007). Navigating sites for narrative inquiry. </w:t>
      </w:r>
      <w:r w:rsidRPr="003C0184">
        <w:rPr>
          <w:i/>
          <w:iCs/>
          <w:color w:val="000000" w:themeColor="text1"/>
        </w:rPr>
        <w:t>Journal of Teacher Education</w:t>
      </w:r>
      <w:r w:rsidRPr="003C0184">
        <w:rPr>
          <w:color w:val="000000" w:themeColor="text1"/>
        </w:rPr>
        <w:t xml:space="preserve">, </w:t>
      </w:r>
      <w:r w:rsidRPr="003C0184">
        <w:rPr>
          <w:i/>
          <w:iCs/>
          <w:color w:val="000000" w:themeColor="text1"/>
        </w:rPr>
        <w:t>58</w:t>
      </w:r>
      <w:r w:rsidRPr="003C0184">
        <w:rPr>
          <w:color w:val="000000" w:themeColor="text1"/>
        </w:rPr>
        <w:t>(1), 21–35. https://doi.org/10/1177/0022487106296218</w:t>
      </w:r>
    </w:p>
    <w:p w14:paraId="47C5E451" w14:textId="77777777" w:rsidR="003C0184" w:rsidRPr="003C0184" w:rsidRDefault="003C0184" w:rsidP="003C0184">
      <w:pPr>
        <w:pStyle w:val="ReferenceHanging"/>
        <w:spacing w:after="0"/>
        <w:rPr>
          <w:color w:val="000000" w:themeColor="text1"/>
        </w:rPr>
      </w:pPr>
    </w:p>
    <w:p w14:paraId="0DD4C0DC" w14:textId="67B9B240" w:rsidR="003C0184" w:rsidRPr="003C0184" w:rsidRDefault="003C0184" w:rsidP="003C0184">
      <w:pPr>
        <w:pStyle w:val="ReferenceHanging"/>
        <w:spacing w:after="0"/>
        <w:rPr>
          <w:color w:val="000000" w:themeColor="text1"/>
        </w:rPr>
      </w:pPr>
      <w:r w:rsidRPr="003C0184">
        <w:rPr>
          <w:color w:val="000000" w:themeColor="text1"/>
        </w:rPr>
        <w:t xml:space="preserve">Clandinin, D. J., &amp; Rosiek, J. (2006). Mapping a landscape of narrative inquiry: Borderland spaces and tensions. In D. J. Clandinin (Ed.), </w:t>
      </w:r>
      <w:r w:rsidRPr="003C0184">
        <w:rPr>
          <w:i/>
          <w:iCs/>
          <w:color w:val="000000" w:themeColor="text1"/>
        </w:rPr>
        <w:t>Handbook of narrative inquiry: Mapping a methodology</w:t>
      </w:r>
      <w:r w:rsidRPr="003C0184">
        <w:rPr>
          <w:color w:val="000000" w:themeColor="text1"/>
        </w:rPr>
        <w:t xml:space="preserve"> (p. 33–75). SAGE</w:t>
      </w:r>
    </w:p>
    <w:p w14:paraId="35F76BB3" w14:textId="77777777" w:rsidR="003C0184" w:rsidRPr="003C0184" w:rsidRDefault="003C0184" w:rsidP="003C0184">
      <w:pPr>
        <w:pStyle w:val="ReferenceHanging"/>
        <w:spacing w:after="0"/>
        <w:rPr>
          <w:color w:val="000000" w:themeColor="text1"/>
        </w:rPr>
      </w:pPr>
    </w:p>
    <w:p w14:paraId="6FEB7935" w14:textId="62BEBFE5" w:rsidR="003C0184" w:rsidRPr="003C0184" w:rsidRDefault="003C0184" w:rsidP="003C0184">
      <w:pPr>
        <w:pStyle w:val="ReferenceHanging"/>
        <w:spacing w:after="0"/>
        <w:rPr>
          <w:color w:val="000000" w:themeColor="text1"/>
        </w:rPr>
      </w:pPr>
      <w:r w:rsidRPr="003C0184">
        <w:rPr>
          <w:color w:val="000000" w:themeColor="text1"/>
        </w:rPr>
        <w:t xml:space="preserve">Davis, J., &amp; Hogan, J. (2004). Research with children: Ethnography, participation, disability, self-empowerment. In C. Barnes &amp; G. Mercer (Eds.), </w:t>
      </w:r>
      <w:r w:rsidRPr="003C0184">
        <w:rPr>
          <w:i/>
          <w:iCs/>
          <w:color w:val="000000" w:themeColor="text1"/>
        </w:rPr>
        <w:t>Implementing the social model of disability: Theory and research</w:t>
      </w:r>
      <w:r w:rsidRPr="003C0184">
        <w:rPr>
          <w:color w:val="000000" w:themeColor="text1"/>
        </w:rPr>
        <w:t xml:space="preserve"> (pp. 172–190). The Disability Press.</w:t>
      </w:r>
    </w:p>
    <w:p w14:paraId="3795D586" w14:textId="77777777" w:rsidR="003C0184" w:rsidRPr="003C0184" w:rsidRDefault="003C0184" w:rsidP="003C0184">
      <w:pPr>
        <w:pStyle w:val="ReferenceHanging"/>
        <w:spacing w:after="0"/>
        <w:rPr>
          <w:color w:val="000000" w:themeColor="text1"/>
        </w:rPr>
      </w:pPr>
    </w:p>
    <w:p w14:paraId="0A2D457B" w14:textId="4AD48CE8" w:rsidR="003C0184" w:rsidRPr="003C0184" w:rsidRDefault="003C0184" w:rsidP="003C0184">
      <w:pPr>
        <w:pStyle w:val="ReferenceHanging"/>
        <w:spacing w:after="0"/>
        <w:rPr>
          <w:color w:val="000000"/>
        </w:rPr>
      </w:pPr>
      <w:r w:rsidRPr="003C0184">
        <w:rPr>
          <w:color w:val="000000"/>
        </w:rPr>
        <w:t xml:space="preserve">Deleuze, G., &amp; Guattari, F. (1987). </w:t>
      </w:r>
      <w:r w:rsidRPr="003C0184">
        <w:rPr>
          <w:i/>
          <w:iCs/>
          <w:color w:val="000000"/>
        </w:rPr>
        <w:t>A thousand plateaus: Capitalism and schizophrenia</w:t>
      </w:r>
      <w:r w:rsidRPr="003C0184">
        <w:rPr>
          <w:color w:val="000000"/>
        </w:rPr>
        <w:t xml:space="preserve">. University of Minnesota Press. </w:t>
      </w:r>
    </w:p>
    <w:p w14:paraId="05CF4452" w14:textId="77777777" w:rsidR="003C0184" w:rsidRPr="003C0184" w:rsidRDefault="003C0184" w:rsidP="003C0184">
      <w:pPr>
        <w:pStyle w:val="ReferenceHanging"/>
        <w:spacing w:after="0"/>
        <w:rPr>
          <w:color w:val="000000" w:themeColor="text1"/>
        </w:rPr>
      </w:pPr>
    </w:p>
    <w:p w14:paraId="7B7CBFF3" w14:textId="572E7C84"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Dwyer, P., Mineo, E., Mifsud, K., Lindholm, C., Gurba, A., &amp; Waisman, T. C. (2023). Building neurodiversity-inclusive postsecondary campuses: Recommendations for leaders in higher education. </w:t>
      </w:r>
      <w:r w:rsidRPr="003C0184">
        <w:rPr>
          <w:i/>
          <w:iCs/>
          <w:color w:val="000000"/>
          <w:shd w:val="clear" w:color="auto" w:fill="FFFFFF"/>
        </w:rPr>
        <w:t>Autism in Adulthood</w:t>
      </w:r>
      <w:r w:rsidRPr="003C0184">
        <w:rPr>
          <w:color w:val="000000"/>
          <w:shd w:val="clear" w:color="auto" w:fill="FFFFFF"/>
        </w:rPr>
        <w:t xml:space="preserve">, </w:t>
      </w:r>
      <w:r w:rsidRPr="003C0184">
        <w:rPr>
          <w:i/>
          <w:iCs/>
          <w:color w:val="000000"/>
          <w:shd w:val="clear" w:color="auto" w:fill="FFFFFF"/>
        </w:rPr>
        <w:t>5</w:t>
      </w:r>
      <w:r w:rsidRPr="003C0184">
        <w:rPr>
          <w:color w:val="000000"/>
          <w:shd w:val="clear" w:color="auto" w:fill="FFFFFF"/>
        </w:rPr>
        <w:t>(1), 1–14. https://doi.org/10.1089/aut.2021.0042</w:t>
      </w:r>
    </w:p>
    <w:p w14:paraId="7BDCB606" w14:textId="2D6BC4CC"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Fox, N. J., &amp; Alldred, P. (2015). Inside the research-assemblage: New materialism and the micropolitics of social inquiry. </w:t>
      </w:r>
      <w:r w:rsidRPr="003C0184">
        <w:rPr>
          <w:i/>
          <w:iCs/>
          <w:color w:val="000000"/>
          <w:shd w:val="clear" w:color="auto" w:fill="FFFFFF"/>
        </w:rPr>
        <w:t>Sociological Research Online</w:t>
      </w:r>
      <w:r w:rsidRPr="003C0184">
        <w:rPr>
          <w:color w:val="000000"/>
          <w:shd w:val="clear" w:color="auto" w:fill="FFFFFF"/>
        </w:rPr>
        <w:t xml:space="preserve">, </w:t>
      </w:r>
      <w:r w:rsidRPr="003C0184">
        <w:rPr>
          <w:i/>
          <w:iCs/>
          <w:color w:val="000000"/>
          <w:shd w:val="clear" w:color="auto" w:fill="FFFFFF"/>
        </w:rPr>
        <w:t>20</w:t>
      </w:r>
      <w:r w:rsidRPr="003C0184">
        <w:rPr>
          <w:color w:val="000000"/>
          <w:shd w:val="clear" w:color="auto" w:fill="FFFFFF"/>
        </w:rPr>
        <w:t>(2), 1–19. https://doi.org/10.5153/sro.3578</w:t>
      </w:r>
    </w:p>
    <w:p w14:paraId="0C277355" w14:textId="5EBE104E" w:rsidR="00774269" w:rsidRPr="00774269" w:rsidRDefault="00774269" w:rsidP="003C0184">
      <w:pPr>
        <w:pStyle w:val="NormalWeb"/>
        <w:spacing w:before="0" w:beforeAutospacing="0" w:after="240" w:afterAutospacing="0"/>
        <w:ind w:left="720" w:hanging="720"/>
        <w:rPr>
          <w:color w:val="000000"/>
          <w:shd w:val="clear" w:color="auto" w:fill="FFFFFF"/>
        </w:rPr>
      </w:pPr>
      <w:r>
        <w:rPr>
          <w:color w:val="000000"/>
          <w:shd w:val="clear" w:color="auto" w:fill="FFFFFF"/>
        </w:rPr>
        <w:t xml:space="preserve">Garland-Thomson, R. (2016). Misfits: A feminist materialist disability concept. In P. Devlieger, B. Miranda-Galarza, S. E. Brown, &amp; M. Strickfaden (Eds.), </w:t>
      </w:r>
      <w:r>
        <w:rPr>
          <w:i/>
          <w:iCs/>
          <w:color w:val="000000"/>
          <w:shd w:val="clear" w:color="auto" w:fill="FFFFFF"/>
        </w:rPr>
        <w:t>Rethinking disability</w:t>
      </w:r>
      <w:r>
        <w:rPr>
          <w:color w:val="000000"/>
          <w:shd w:val="clear" w:color="auto" w:fill="FFFFFF"/>
        </w:rPr>
        <w:t xml:space="preserve"> (165-179). Garant.</w:t>
      </w:r>
    </w:p>
    <w:p w14:paraId="5D4001D5" w14:textId="7CDB826C"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Gault, M. (2025). Accommodations for teachers with disabilities. </w:t>
      </w:r>
      <w:r w:rsidRPr="003C0184">
        <w:rPr>
          <w:i/>
          <w:iCs/>
          <w:color w:val="000000"/>
          <w:shd w:val="clear" w:color="auto" w:fill="FFFFFF"/>
        </w:rPr>
        <w:t>The Journal of Law and Education</w:t>
      </w:r>
      <w:r w:rsidRPr="003C0184">
        <w:rPr>
          <w:color w:val="000000"/>
          <w:shd w:val="clear" w:color="auto" w:fill="FFFFFF"/>
        </w:rPr>
        <w:t xml:space="preserve">, </w:t>
      </w:r>
      <w:r w:rsidRPr="003C0184">
        <w:rPr>
          <w:i/>
          <w:iCs/>
          <w:color w:val="000000"/>
          <w:shd w:val="clear" w:color="auto" w:fill="FFFFFF"/>
        </w:rPr>
        <w:t>54</w:t>
      </w:r>
      <w:r w:rsidRPr="003C0184">
        <w:rPr>
          <w:color w:val="000000"/>
          <w:shd w:val="clear" w:color="auto" w:fill="FFFFFF"/>
        </w:rPr>
        <w:t>(1), 1–28. https://scholarcommons.sc.edu/jled/vol54/iss1/4</w:t>
      </w:r>
    </w:p>
    <w:p w14:paraId="7B9339BE" w14:textId="5E94DCB1"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Gelber, S. M. (2025). From compensation to accommodation: The history of learning disabilities in American higher education.</w:t>
      </w:r>
      <w:r w:rsidRPr="003C0184">
        <w:rPr>
          <w:i/>
          <w:iCs/>
          <w:color w:val="000000"/>
          <w:shd w:val="clear" w:color="auto" w:fill="FFFFFF"/>
        </w:rPr>
        <w:t xml:space="preserve"> History of Education Quarterly</w:t>
      </w:r>
      <w:r w:rsidRPr="003C0184">
        <w:rPr>
          <w:color w:val="000000"/>
          <w:shd w:val="clear" w:color="auto" w:fill="FFFFFF"/>
        </w:rPr>
        <w:t xml:space="preserve">, </w:t>
      </w:r>
      <w:r w:rsidRPr="003C0184">
        <w:rPr>
          <w:i/>
          <w:iCs/>
          <w:color w:val="000000"/>
          <w:shd w:val="clear" w:color="auto" w:fill="FFFFFF"/>
        </w:rPr>
        <w:t>65</w:t>
      </w:r>
      <w:r w:rsidRPr="003C0184">
        <w:rPr>
          <w:color w:val="000000"/>
          <w:shd w:val="clear" w:color="auto" w:fill="FFFFFF"/>
        </w:rPr>
        <w:t>(1), 8–28. https://doi.org/10.1017/heq.2024.16</w:t>
      </w:r>
    </w:p>
    <w:p w14:paraId="5A1B2768" w14:textId="21EC24B6"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Hoben, J., &amp; Hesson, J. (2021). Invisible lives: Using autoethnography to explore the experiences of academics living with attention deficit hyperactivity disorder (ADHD). </w:t>
      </w:r>
      <w:r w:rsidRPr="003C0184">
        <w:rPr>
          <w:i/>
          <w:iCs/>
          <w:color w:val="000000"/>
          <w:shd w:val="clear" w:color="auto" w:fill="FFFFFF"/>
        </w:rPr>
        <w:t>New Horizons in Adult Education &amp; Human Resource Development</w:t>
      </w:r>
      <w:r w:rsidRPr="003C0184">
        <w:rPr>
          <w:color w:val="000000"/>
          <w:shd w:val="clear" w:color="auto" w:fill="FFFFFF"/>
        </w:rPr>
        <w:t xml:space="preserve">, </w:t>
      </w:r>
      <w:r w:rsidRPr="003C0184">
        <w:rPr>
          <w:i/>
          <w:iCs/>
          <w:color w:val="000000"/>
          <w:shd w:val="clear" w:color="auto" w:fill="FFFFFF"/>
        </w:rPr>
        <w:t>33</w:t>
      </w:r>
      <w:r w:rsidRPr="003C0184">
        <w:rPr>
          <w:color w:val="000000"/>
          <w:shd w:val="clear" w:color="auto" w:fill="FFFFFF"/>
        </w:rPr>
        <w:t>(1), 37-50. https://doi.org/</w:t>
      </w:r>
      <w:r w:rsidRPr="003C0184">
        <w:rPr>
          <w:color w:val="262626"/>
          <w:shd w:val="clear" w:color="auto" w:fill="FFFFFF"/>
        </w:rPr>
        <w:t>10.1002/nha3.20304</w:t>
      </w:r>
    </w:p>
    <w:p w14:paraId="5EC3A482" w14:textId="7B492A36"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t xml:space="preserve">Kattari, S. K., </w:t>
      </w:r>
      <w:proofErr w:type="spellStart"/>
      <w:r w:rsidRPr="003C0184">
        <w:rPr>
          <w:color w:val="000000"/>
          <w:shd w:val="clear" w:color="auto" w:fill="FFFFFF"/>
        </w:rPr>
        <w:t>Olzman</w:t>
      </w:r>
      <w:proofErr w:type="spellEnd"/>
      <w:r w:rsidRPr="003C0184">
        <w:rPr>
          <w:color w:val="000000"/>
          <w:shd w:val="clear" w:color="auto" w:fill="FFFFFF"/>
        </w:rPr>
        <w:t xml:space="preserve">, M., &amp; Hanna, M. D. (2018). “You look fine!” Ableist experiences by people with invisible disabilities. </w:t>
      </w:r>
      <w:r w:rsidRPr="003C0184">
        <w:rPr>
          <w:i/>
          <w:iCs/>
          <w:color w:val="000000"/>
          <w:shd w:val="clear" w:color="auto" w:fill="FFFFFF"/>
        </w:rPr>
        <w:t>Journal of Women and Social Work</w:t>
      </w:r>
      <w:r w:rsidRPr="003C0184">
        <w:rPr>
          <w:color w:val="000000"/>
          <w:shd w:val="clear" w:color="auto" w:fill="FFFFFF"/>
        </w:rPr>
        <w:t xml:space="preserve">, </w:t>
      </w:r>
      <w:r w:rsidRPr="003C0184">
        <w:rPr>
          <w:i/>
          <w:iCs/>
          <w:color w:val="000000"/>
          <w:shd w:val="clear" w:color="auto" w:fill="FFFFFF"/>
        </w:rPr>
        <w:t>33</w:t>
      </w:r>
      <w:r w:rsidRPr="003C0184">
        <w:rPr>
          <w:color w:val="000000"/>
          <w:shd w:val="clear" w:color="auto" w:fill="FFFFFF"/>
        </w:rPr>
        <w:t>(4), 477–492. https://doi.org/10.1177/0886109918778073</w:t>
      </w:r>
    </w:p>
    <w:p w14:paraId="128B065E" w14:textId="40E5607D" w:rsidR="003C0184" w:rsidRPr="003C0184" w:rsidRDefault="003C0184" w:rsidP="003C0184">
      <w:pPr>
        <w:pStyle w:val="NormalWeb"/>
        <w:spacing w:before="0" w:beforeAutospacing="0" w:after="240" w:afterAutospacing="0"/>
        <w:ind w:left="720" w:hanging="720"/>
        <w:rPr>
          <w:color w:val="000000"/>
          <w:shd w:val="clear" w:color="auto" w:fill="FFFFFF"/>
        </w:rPr>
      </w:pPr>
      <w:r w:rsidRPr="003C0184">
        <w:rPr>
          <w:color w:val="000000"/>
          <w:shd w:val="clear" w:color="auto" w:fill="FFFFFF"/>
        </w:rPr>
        <w:lastRenderedPageBreak/>
        <w:t xml:space="preserve">Knight, D. &amp; Wadsworth, D. E. (1996). Preparing preservice teachers with disabilities for the student teaching experience. </w:t>
      </w:r>
      <w:r w:rsidRPr="003C0184">
        <w:rPr>
          <w:i/>
          <w:iCs/>
          <w:color w:val="000000"/>
          <w:shd w:val="clear" w:color="auto" w:fill="FFFFFF"/>
        </w:rPr>
        <w:t>The Teacher Educator</w:t>
      </w:r>
      <w:r w:rsidRPr="003C0184">
        <w:rPr>
          <w:color w:val="000000"/>
          <w:shd w:val="clear" w:color="auto" w:fill="FFFFFF"/>
        </w:rPr>
        <w:t xml:space="preserve">, </w:t>
      </w:r>
      <w:r w:rsidRPr="003C0184">
        <w:rPr>
          <w:i/>
          <w:iCs/>
          <w:color w:val="000000"/>
          <w:shd w:val="clear" w:color="auto" w:fill="FFFFFF"/>
        </w:rPr>
        <w:t>31</w:t>
      </w:r>
      <w:r w:rsidRPr="003C0184">
        <w:rPr>
          <w:color w:val="000000"/>
          <w:shd w:val="clear" w:color="auto" w:fill="FFFFFF"/>
        </w:rPr>
        <w:t>(4), 313–324. https://doi.org/10.1080/08878739609555124 </w:t>
      </w:r>
    </w:p>
    <w:p w14:paraId="5C2971A3" w14:textId="13A3A325" w:rsidR="00286366" w:rsidRPr="00286366" w:rsidRDefault="00286366" w:rsidP="00286366">
      <w:pPr>
        <w:pStyle w:val="NormalWeb"/>
        <w:spacing w:before="0" w:beforeAutospacing="0" w:after="240" w:afterAutospacing="0"/>
        <w:ind w:left="720" w:hanging="720"/>
      </w:pPr>
      <w:r>
        <w:rPr>
          <w:color w:val="000000"/>
          <w:shd w:val="clear" w:color="auto" w:fill="FFFFFF"/>
        </w:rPr>
        <w:t xml:space="preserve">Merriam, S. B. (1998). </w:t>
      </w:r>
      <w:r>
        <w:rPr>
          <w:i/>
          <w:iCs/>
          <w:color w:val="000000"/>
          <w:shd w:val="clear" w:color="auto" w:fill="FFFFFF"/>
        </w:rPr>
        <w:t>Qualitative research and case study applications in education</w:t>
      </w:r>
      <w:r>
        <w:rPr>
          <w:color w:val="000000"/>
          <w:shd w:val="clear" w:color="auto" w:fill="FFFFFF"/>
        </w:rPr>
        <w:t>. Jossey-Bass</w:t>
      </w:r>
    </w:p>
    <w:p w14:paraId="1931D379" w14:textId="04C03121"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Parker, E. C., &amp; Draves, T. J. (2017). A narrative of two preservice music teachers with visual impairments. </w:t>
      </w:r>
      <w:r w:rsidRPr="003C0184">
        <w:rPr>
          <w:i/>
          <w:iCs/>
          <w:color w:val="000000"/>
          <w:shd w:val="clear" w:color="auto" w:fill="FFFFFF"/>
        </w:rPr>
        <w:t>Journal of Research in Music Education</w:t>
      </w:r>
      <w:r w:rsidRPr="003C0184">
        <w:rPr>
          <w:color w:val="000000"/>
          <w:shd w:val="clear" w:color="auto" w:fill="FFFFFF"/>
        </w:rPr>
        <w:t xml:space="preserve">, </w:t>
      </w:r>
      <w:r w:rsidRPr="003C0184">
        <w:rPr>
          <w:i/>
          <w:iCs/>
          <w:color w:val="000000"/>
          <w:shd w:val="clear" w:color="auto" w:fill="FFFFFF"/>
        </w:rPr>
        <w:t>64</w:t>
      </w:r>
      <w:r w:rsidRPr="003C0184">
        <w:rPr>
          <w:color w:val="000000"/>
          <w:shd w:val="clear" w:color="auto" w:fill="FFFFFF"/>
        </w:rPr>
        <w:t>(4), 385–404. https://doi.org/10.1177/0022429416674704</w:t>
      </w:r>
    </w:p>
    <w:p w14:paraId="278A9037" w14:textId="77777777"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Rothstein, L. (2003). Students with disabilities and higher education: A disconnect in expectations and realities. </w:t>
      </w:r>
      <w:r w:rsidRPr="003C0184">
        <w:rPr>
          <w:i/>
          <w:iCs/>
          <w:color w:val="000000"/>
          <w:shd w:val="clear" w:color="auto" w:fill="FFFFFF"/>
        </w:rPr>
        <w:t>The George Washington University HEATH Resource Center</w:t>
      </w:r>
      <w:r w:rsidRPr="003C0184">
        <w:rPr>
          <w:color w:val="000000"/>
          <w:shd w:val="clear" w:color="auto" w:fill="FFFFFF"/>
        </w:rPr>
        <w:t>. https://eric.ed.gov/?id=ED482310</w:t>
      </w:r>
    </w:p>
    <w:p w14:paraId="09CB5DDC" w14:textId="1160ED07"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Shine, D. &amp; Stefanou, C. (2022). Creating the inclusive higher education classroom for students with disabilities: The role of attitude and confidence among university faculty. </w:t>
      </w:r>
      <w:r w:rsidRPr="003C0184">
        <w:rPr>
          <w:i/>
          <w:iCs/>
          <w:color w:val="000000"/>
          <w:shd w:val="clear" w:color="auto" w:fill="FFFFFF"/>
        </w:rPr>
        <w:t>International Journal of Teaching and Learning in Higher Education</w:t>
      </w:r>
      <w:r w:rsidRPr="003C0184">
        <w:rPr>
          <w:color w:val="000000"/>
          <w:shd w:val="clear" w:color="auto" w:fill="FFFFFF"/>
        </w:rPr>
        <w:t xml:space="preserve">, </w:t>
      </w:r>
      <w:r w:rsidRPr="003C0184">
        <w:rPr>
          <w:i/>
          <w:iCs/>
          <w:color w:val="000000"/>
          <w:shd w:val="clear" w:color="auto" w:fill="FFFFFF"/>
        </w:rPr>
        <w:t>33</w:t>
      </w:r>
      <w:r w:rsidRPr="003C0184">
        <w:rPr>
          <w:color w:val="000000"/>
          <w:shd w:val="clear" w:color="auto" w:fill="FFFFFF"/>
        </w:rPr>
        <w:t>(2), 216–224. https://isetl.org/ijtlhe/pdf/IJTLHE4036.pdf</w:t>
      </w:r>
    </w:p>
    <w:p w14:paraId="59DC6629" w14:textId="4E71EEBF" w:rsidR="003C0184" w:rsidRPr="003C0184" w:rsidRDefault="003C0184" w:rsidP="003C0184">
      <w:pPr>
        <w:spacing w:after="0" w:line="240" w:lineRule="auto"/>
        <w:ind w:left="720" w:hanging="720"/>
        <w:rPr>
          <w:rFonts w:ascii="Times New Roman" w:hAnsi="Times New Roman" w:cs="Times New Roman"/>
        </w:rPr>
      </w:pPr>
      <w:r w:rsidRPr="003C0184">
        <w:rPr>
          <w:rFonts w:ascii="Times New Roman" w:hAnsi="Times New Roman" w:cs="Times New Roman"/>
        </w:rPr>
        <w:t>Stanley, N., Ridley, J., Harris, J., &amp; Manthorpe, J. (2011). Disclosing disability in the context of professional regulation: A qualitative UK study.</w:t>
      </w:r>
      <w:r w:rsidRPr="003C0184">
        <w:rPr>
          <w:rFonts w:ascii="Times New Roman" w:hAnsi="Times New Roman" w:cs="Times New Roman"/>
          <w:i/>
          <w:iCs/>
        </w:rPr>
        <w:t xml:space="preserve"> Disability &amp; Society</w:t>
      </w:r>
      <w:r w:rsidRPr="003C0184">
        <w:rPr>
          <w:rFonts w:ascii="Times New Roman" w:hAnsi="Times New Roman" w:cs="Times New Roman"/>
        </w:rPr>
        <w:t xml:space="preserve">, </w:t>
      </w:r>
      <w:r w:rsidRPr="003C0184">
        <w:rPr>
          <w:rFonts w:ascii="Times New Roman" w:hAnsi="Times New Roman" w:cs="Times New Roman"/>
          <w:i/>
          <w:iCs/>
        </w:rPr>
        <w:t>26</w:t>
      </w:r>
      <w:r w:rsidRPr="003C0184">
        <w:rPr>
          <w:rFonts w:ascii="Times New Roman" w:hAnsi="Times New Roman" w:cs="Times New Roman"/>
        </w:rPr>
        <w:t>(1), 19–32. https://doi.org/10.1080/09687599.2011.529663</w:t>
      </w:r>
    </w:p>
    <w:p w14:paraId="7748174C" w14:textId="77777777" w:rsidR="003C0184" w:rsidRPr="003C0184" w:rsidRDefault="003C0184" w:rsidP="003C0184">
      <w:pPr>
        <w:spacing w:after="0" w:line="240" w:lineRule="auto"/>
        <w:ind w:left="720" w:hanging="720"/>
        <w:rPr>
          <w:rFonts w:ascii="Times New Roman" w:hAnsi="Times New Roman" w:cs="Times New Roman"/>
        </w:rPr>
      </w:pPr>
    </w:p>
    <w:p w14:paraId="23B2A7BC" w14:textId="69EF9717"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Toutain, C. (2019). Barriers to accommodations for students with disabilities in higher education: A literature review. </w:t>
      </w:r>
      <w:r w:rsidRPr="003C0184">
        <w:rPr>
          <w:i/>
          <w:iCs/>
          <w:color w:val="000000"/>
          <w:shd w:val="clear" w:color="auto" w:fill="FFFFFF"/>
        </w:rPr>
        <w:t>Journal of Postsecondary Education and Disability</w:t>
      </w:r>
      <w:r w:rsidRPr="003C0184">
        <w:rPr>
          <w:color w:val="000000"/>
          <w:shd w:val="clear" w:color="auto" w:fill="FFFFFF"/>
        </w:rPr>
        <w:t xml:space="preserve">, </w:t>
      </w:r>
      <w:r w:rsidRPr="003C0184">
        <w:rPr>
          <w:i/>
          <w:iCs/>
          <w:color w:val="000000"/>
          <w:shd w:val="clear" w:color="auto" w:fill="FFFFFF"/>
        </w:rPr>
        <w:t>32</w:t>
      </w:r>
      <w:r w:rsidRPr="003C0184">
        <w:rPr>
          <w:color w:val="000000"/>
          <w:shd w:val="clear" w:color="auto" w:fill="FFFFFF"/>
        </w:rPr>
        <w:t>(3), 297–310. https://files.eric.ed.gov/fulltext/EJ1236832.pdf</w:t>
      </w:r>
    </w:p>
    <w:p w14:paraId="17D9AB25" w14:textId="27843B80"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Valle-Flórez, R. E., de Caso Fuertes, A. M., Baelo, R., &amp; García-Martín, S. (2021). Faculty of education professors’ perception about inclusion of university students with disabilities. </w:t>
      </w:r>
      <w:r w:rsidRPr="003C0184">
        <w:rPr>
          <w:i/>
          <w:iCs/>
          <w:color w:val="000000"/>
          <w:shd w:val="clear" w:color="auto" w:fill="FFFFFF"/>
        </w:rPr>
        <w:t>International Journal of Environmental Research and Public Health</w:t>
      </w:r>
      <w:r w:rsidRPr="003C0184">
        <w:rPr>
          <w:color w:val="000000"/>
          <w:shd w:val="clear" w:color="auto" w:fill="FFFFFF"/>
        </w:rPr>
        <w:t xml:space="preserve">, </w:t>
      </w:r>
      <w:r w:rsidRPr="003C0184">
        <w:rPr>
          <w:i/>
          <w:iCs/>
          <w:color w:val="000000"/>
          <w:shd w:val="clear" w:color="auto" w:fill="FFFFFF"/>
        </w:rPr>
        <w:t>18</w:t>
      </w:r>
      <w:r w:rsidRPr="003C0184">
        <w:rPr>
          <w:color w:val="000000"/>
          <w:shd w:val="clear" w:color="auto" w:fill="FFFFFF"/>
        </w:rPr>
        <w:t>(21), 1–21. https://doi.org/10.3390/ijerph182111667</w:t>
      </w:r>
    </w:p>
    <w:p w14:paraId="148767BC" w14:textId="16EB77CB" w:rsidR="003C0184" w:rsidRPr="003C0184" w:rsidRDefault="003C0184" w:rsidP="003C0184">
      <w:pPr>
        <w:spacing w:after="0" w:line="240" w:lineRule="auto"/>
        <w:ind w:left="720" w:hanging="720"/>
        <w:rPr>
          <w:rFonts w:ascii="Times New Roman" w:hAnsi="Times New Roman" w:cs="Times New Roman"/>
        </w:rPr>
      </w:pPr>
      <w:r w:rsidRPr="003C0184">
        <w:rPr>
          <w:rFonts w:ascii="Times New Roman" w:hAnsi="Times New Roman" w:cs="Times New Roman"/>
        </w:rPr>
        <w:t xml:space="preserve">Vogel, G., &amp; Sharoni, V. (2011). ‘My success as a teacher amazes me each and every day’- Perspectives of teachers with learning disabilities. </w:t>
      </w:r>
      <w:r w:rsidRPr="003C0184">
        <w:rPr>
          <w:rFonts w:ascii="Times New Roman" w:hAnsi="Times New Roman" w:cs="Times New Roman"/>
          <w:i/>
          <w:iCs/>
        </w:rPr>
        <w:t>International Journal of Inclusive Education</w:t>
      </w:r>
      <w:r w:rsidRPr="003C0184">
        <w:rPr>
          <w:rFonts w:ascii="Times New Roman" w:hAnsi="Times New Roman" w:cs="Times New Roman"/>
        </w:rPr>
        <w:t xml:space="preserve">, </w:t>
      </w:r>
      <w:r w:rsidRPr="003C0184">
        <w:rPr>
          <w:rFonts w:ascii="Times New Roman" w:hAnsi="Times New Roman" w:cs="Times New Roman"/>
          <w:i/>
          <w:iCs/>
        </w:rPr>
        <w:t>15</w:t>
      </w:r>
      <w:r w:rsidRPr="003C0184">
        <w:rPr>
          <w:rFonts w:ascii="Times New Roman" w:hAnsi="Times New Roman" w:cs="Times New Roman"/>
        </w:rPr>
        <w:t>(5), 479–495. https://doi.org/10.1080/1360311093131721</w:t>
      </w:r>
    </w:p>
    <w:p w14:paraId="29A3611A" w14:textId="77777777" w:rsidR="003C0184" w:rsidRPr="003C0184" w:rsidRDefault="003C0184" w:rsidP="003C0184">
      <w:pPr>
        <w:spacing w:after="0" w:line="240" w:lineRule="auto"/>
        <w:ind w:left="720" w:hanging="720"/>
        <w:rPr>
          <w:rFonts w:ascii="Times New Roman" w:hAnsi="Times New Roman" w:cs="Times New Roman"/>
        </w:rPr>
      </w:pPr>
    </w:p>
    <w:p w14:paraId="1F703E4D" w14:textId="74364D3A" w:rsidR="003D5A17" w:rsidRPr="003D5A17" w:rsidRDefault="003D5A17" w:rsidP="003C0184">
      <w:pPr>
        <w:pStyle w:val="NormalWeb"/>
        <w:spacing w:before="0" w:beforeAutospacing="0" w:after="240" w:afterAutospacing="0"/>
        <w:ind w:left="720" w:hanging="720"/>
        <w:rPr>
          <w:color w:val="000000"/>
          <w:shd w:val="clear" w:color="auto" w:fill="FFFFFF"/>
        </w:rPr>
      </w:pPr>
      <w:r>
        <w:rPr>
          <w:color w:val="000000"/>
          <w:shd w:val="clear" w:color="auto" w:fill="FFFFFF"/>
        </w:rPr>
        <w:t>Youdell, D. (2006). Diversity, inequality, and a post-structural politics for education.</w:t>
      </w:r>
      <w:r>
        <w:rPr>
          <w:i/>
          <w:iCs/>
          <w:color w:val="000000"/>
          <w:shd w:val="clear" w:color="auto" w:fill="FFFFFF"/>
        </w:rPr>
        <w:t xml:space="preserve"> Discourse: Studies in the Cultural Politics of Education</w:t>
      </w:r>
      <w:r>
        <w:rPr>
          <w:color w:val="000000"/>
          <w:shd w:val="clear" w:color="auto" w:fill="FFFFFF"/>
        </w:rPr>
        <w:t xml:space="preserve">, </w:t>
      </w:r>
      <w:r>
        <w:rPr>
          <w:i/>
          <w:iCs/>
          <w:color w:val="000000"/>
          <w:shd w:val="clear" w:color="auto" w:fill="FFFFFF"/>
        </w:rPr>
        <w:t>27</w:t>
      </w:r>
      <w:r>
        <w:rPr>
          <w:color w:val="000000"/>
          <w:shd w:val="clear" w:color="auto" w:fill="FFFFFF"/>
        </w:rPr>
        <w:t>(1), 33-42. https://doi.org/10.1080/01596300500510252</w:t>
      </w:r>
    </w:p>
    <w:p w14:paraId="7BD0F90F" w14:textId="50A32FDE" w:rsidR="003C0184" w:rsidRPr="003C0184" w:rsidRDefault="003C0184" w:rsidP="003C0184">
      <w:pPr>
        <w:pStyle w:val="NormalWeb"/>
        <w:spacing w:before="0" w:beforeAutospacing="0" w:after="240" w:afterAutospacing="0"/>
        <w:ind w:left="720" w:hanging="720"/>
      </w:pPr>
      <w:r w:rsidRPr="003C0184">
        <w:rPr>
          <w:color w:val="000000"/>
          <w:shd w:val="clear" w:color="auto" w:fill="FFFFFF"/>
        </w:rPr>
        <w:t xml:space="preserve">Yssel, N., Pak, N., &amp; Beilke, J. (2016). A door must be opened: Perceptions of students with disabilities in higher education. </w:t>
      </w:r>
      <w:r w:rsidRPr="003C0184">
        <w:rPr>
          <w:i/>
          <w:iCs/>
          <w:color w:val="000000"/>
          <w:shd w:val="clear" w:color="auto" w:fill="FFFFFF"/>
        </w:rPr>
        <w:t>International Journal of Disability, Development and Education</w:t>
      </w:r>
      <w:r w:rsidRPr="003C0184">
        <w:rPr>
          <w:color w:val="000000"/>
          <w:shd w:val="clear" w:color="auto" w:fill="FFFFFF"/>
        </w:rPr>
        <w:t xml:space="preserve">, </w:t>
      </w:r>
      <w:r w:rsidRPr="003C0184">
        <w:rPr>
          <w:i/>
          <w:iCs/>
          <w:color w:val="000000"/>
          <w:shd w:val="clear" w:color="auto" w:fill="FFFFFF"/>
        </w:rPr>
        <w:t>63</w:t>
      </w:r>
      <w:r w:rsidRPr="003C0184">
        <w:rPr>
          <w:color w:val="000000"/>
          <w:shd w:val="clear" w:color="auto" w:fill="FFFFFF"/>
        </w:rPr>
        <w:t>(3), 384–394. https://doi.org/10.1080/1034912X.2015.1123232</w:t>
      </w:r>
    </w:p>
    <w:p w14:paraId="0F9648CD" w14:textId="77777777" w:rsidR="00B75EB1" w:rsidRPr="003C0184" w:rsidRDefault="00B75EB1" w:rsidP="00B75EB1">
      <w:pPr>
        <w:spacing w:after="240"/>
        <w:rPr>
          <w:rFonts w:ascii="Times New Roman" w:hAnsi="Times New Roman" w:cs="Times New Roman"/>
        </w:rPr>
      </w:pPr>
    </w:p>
    <w:p w14:paraId="6206C1A8" w14:textId="77777777" w:rsidR="00E661D1" w:rsidRPr="003C0184" w:rsidRDefault="00E661D1" w:rsidP="00BB1E7F">
      <w:p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14:ligatures w14:val="none"/>
        </w:rPr>
      </w:pPr>
    </w:p>
    <w:p w14:paraId="57F68B42" w14:textId="77777777" w:rsidR="00BB1E7F" w:rsidRPr="003C0184" w:rsidRDefault="00BB1E7F" w:rsidP="00E266FB">
      <w:pPr>
        <w:jc w:val="center"/>
        <w:rPr>
          <w:rFonts w:ascii="Times New Roman" w:hAnsi="Times New Roman" w:cs="Times New Roman"/>
          <w:color w:val="000000" w:themeColor="text1"/>
        </w:rPr>
      </w:pPr>
    </w:p>
    <w:sectPr w:rsidR="00BB1E7F" w:rsidRPr="003C0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B1DAE"/>
    <w:multiLevelType w:val="multilevel"/>
    <w:tmpl w:val="9C5C1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4721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B"/>
    <w:rsid w:val="000161AC"/>
    <w:rsid w:val="00020ED9"/>
    <w:rsid w:val="00045BB6"/>
    <w:rsid w:val="000517D8"/>
    <w:rsid w:val="00057881"/>
    <w:rsid w:val="000D68D3"/>
    <w:rsid w:val="00113EED"/>
    <w:rsid w:val="001255F3"/>
    <w:rsid w:val="001426F2"/>
    <w:rsid w:val="0017638D"/>
    <w:rsid w:val="001840E7"/>
    <w:rsid w:val="0018566A"/>
    <w:rsid w:val="00192D0F"/>
    <w:rsid w:val="002229B1"/>
    <w:rsid w:val="002254A6"/>
    <w:rsid w:val="00282082"/>
    <w:rsid w:val="00286366"/>
    <w:rsid w:val="002F3692"/>
    <w:rsid w:val="00306B85"/>
    <w:rsid w:val="003133E1"/>
    <w:rsid w:val="00394712"/>
    <w:rsid w:val="00397DB8"/>
    <w:rsid w:val="003C0184"/>
    <w:rsid w:val="003D5A17"/>
    <w:rsid w:val="003E2AF3"/>
    <w:rsid w:val="00413B78"/>
    <w:rsid w:val="00420860"/>
    <w:rsid w:val="00464C3C"/>
    <w:rsid w:val="004810E2"/>
    <w:rsid w:val="0049631D"/>
    <w:rsid w:val="004B2753"/>
    <w:rsid w:val="004C12E9"/>
    <w:rsid w:val="004D76C7"/>
    <w:rsid w:val="005076D1"/>
    <w:rsid w:val="005111E0"/>
    <w:rsid w:val="005211C8"/>
    <w:rsid w:val="00564247"/>
    <w:rsid w:val="005B6529"/>
    <w:rsid w:val="005C437D"/>
    <w:rsid w:val="00632F64"/>
    <w:rsid w:val="00672E19"/>
    <w:rsid w:val="006732BA"/>
    <w:rsid w:val="00697A15"/>
    <w:rsid w:val="006B609E"/>
    <w:rsid w:val="00774269"/>
    <w:rsid w:val="0077431B"/>
    <w:rsid w:val="0079798E"/>
    <w:rsid w:val="007B6BD5"/>
    <w:rsid w:val="007C333E"/>
    <w:rsid w:val="007F7520"/>
    <w:rsid w:val="008A0E0D"/>
    <w:rsid w:val="008C297F"/>
    <w:rsid w:val="0090797F"/>
    <w:rsid w:val="009250A1"/>
    <w:rsid w:val="00942E8F"/>
    <w:rsid w:val="00990E1C"/>
    <w:rsid w:val="00997BD6"/>
    <w:rsid w:val="00A75580"/>
    <w:rsid w:val="00AA0399"/>
    <w:rsid w:val="00AB70B9"/>
    <w:rsid w:val="00AE38E4"/>
    <w:rsid w:val="00B1739A"/>
    <w:rsid w:val="00B56FBD"/>
    <w:rsid w:val="00B638A3"/>
    <w:rsid w:val="00B75EB1"/>
    <w:rsid w:val="00BA07E7"/>
    <w:rsid w:val="00BB1E7F"/>
    <w:rsid w:val="00BC55C6"/>
    <w:rsid w:val="00C23ACA"/>
    <w:rsid w:val="00CA3175"/>
    <w:rsid w:val="00CE6B92"/>
    <w:rsid w:val="00D519C9"/>
    <w:rsid w:val="00D97ACC"/>
    <w:rsid w:val="00DB54CB"/>
    <w:rsid w:val="00DD20FE"/>
    <w:rsid w:val="00DE11F1"/>
    <w:rsid w:val="00E12397"/>
    <w:rsid w:val="00E266FB"/>
    <w:rsid w:val="00E54D11"/>
    <w:rsid w:val="00E661D1"/>
    <w:rsid w:val="00E860A0"/>
    <w:rsid w:val="00E86817"/>
    <w:rsid w:val="00EF7B8B"/>
    <w:rsid w:val="00F108C0"/>
    <w:rsid w:val="00F56D23"/>
    <w:rsid w:val="00FF3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47B4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FB"/>
    <w:rPr>
      <w:rFonts w:eastAsiaTheme="majorEastAsia" w:cstheme="majorBidi"/>
      <w:color w:val="272727" w:themeColor="text1" w:themeTint="D8"/>
    </w:rPr>
  </w:style>
  <w:style w:type="paragraph" w:styleId="Title">
    <w:name w:val="Title"/>
    <w:basedOn w:val="Normal"/>
    <w:next w:val="Normal"/>
    <w:link w:val="TitleChar"/>
    <w:uiPriority w:val="10"/>
    <w:qFormat/>
    <w:rsid w:val="00E26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FB"/>
    <w:pPr>
      <w:spacing w:before="160"/>
      <w:jc w:val="center"/>
    </w:pPr>
    <w:rPr>
      <w:i/>
      <w:iCs/>
      <w:color w:val="404040" w:themeColor="text1" w:themeTint="BF"/>
    </w:rPr>
  </w:style>
  <w:style w:type="character" w:customStyle="1" w:styleId="QuoteChar">
    <w:name w:val="Quote Char"/>
    <w:basedOn w:val="DefaultParagraphFont"/>
    <w:link w:val="Quote"/>
    <w:uiPriority w:val="29"/>
    <w:rsid w:val="00E266FB"/>
    <w:rPr>
      <w:i/>
      <w:iCs/>
      <w:color w:val="404040" w:themeColor="text1" w:themeTint="BF"/>
    </w:rPr>
  </w:style>
  <w:style w:type="paragraph" w:styleId="ListParagraph">
    <w:name w:val="List Paragraph"/>
    <w:basedOn w:val="Normal"/>
    <w:uiPriority w:val="34"/>
    <w:qFormat/>
    <w:rsid w:val="00E266FB"/>
    <w:pPr>
      <w:ind w:left="720"/>
      <w:contextualSpacing/>
    </w:pPr>
  </w:style>
  <w:style w:type="character" w:styleId="IntenseEmphasis">
    <w:name w:val="Intense Emphasis"/>
    <w:basedOn w:val="DefaultParagraphFont"/>
    <w:uiPriority w:val="21"/>
    <w:qFormat/>
    <w:rsid w:val="00E266FB"/>
    <w:rPr>
      <w:i/>
      <w:iCs/>
      <w:color w:val="0F4761" w:themeColor="accent1" w:themeShade="BF"/>
    </w:rPr>
  </w:style>
  <w:style w:type="paragraph" w:styleId="IntenseQuote">
    <w:name w:val="Intense Quote"/>
    <w:basedOn w:val="Normal"/>
    <w:next w:val="Normal"/>
    <w:link w:val="IntenseQuoteChar"/>
    <w:uiPriority w:val="30"/>
    <w:qFormat/>
    <w:rsid w:val="00E26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FB"/>
    <w:rPr>
      <w:i/>
      <w:iCs/>
      <w:color w:val="0F4761" w:themeColor="accent1" w:themeShade="BF"/>
    </w:rPr>
  </w:style>
  <w:style w:type="character" w:styleId="IntenseReference">
    <w:name w:val="Intense Reference"/>
    <w:basedOn w:val="DefaultParagraphFont"/>
    <w:uiPriority w:val="32"/>
    <w:qFormat/>
    <w:rsid w:val="00E266FB"/>
    <w:rPr>
      <w:b/>
      <w:bCs/>
      <w:smallCaps/>
      <w:color w:val="0F4761" w:themeColor="accent1" w:themeShade="BF"/>
      <w:spacing w:val="5"/>
    </w:rPr>
  </w:style>
  <w:style w:type="paragraph" w:styleId="NormalWeb">
    <w:name w:val="Normal (Web)"/>
    <w:basedOn w:val="Normal"/>
    <w:uiPriority w:val="99"/>
    <w:unhideWhenUsed/>
    <w:rsid w:val="00464C3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75EB1"/>
    <w:rPr>
      <w:color w:val="467886" w:themeColor="hyperlink"/>
      <w:u w:val="single"/>
    </w:rPr>
  </w:style>
  <w:style w:type="character" w:styleId="UnresolvedMention">
    <w:name w:val="Unresolved Mention"/>
    <w:basedOn w:val="DefaultParagraphFont"/>
    <w:uiPriority w:val="99"/>
    <w:semiHidden/>
    <w:unhideWhenUsed/>
    <w:rsid w:val="00B75EB1"/>
    <w:rPr>
      <w:color w:val="605E5C"/>
      <w:shd w:val="clear" w:color="auto" w:fill="E1DFDD"/>
    </w:rPr>
  </w:style>
  <w:style w:type="paragraph" w:customStyle="1" w:styleId="ReferenceHanging">
    <w:name w:val="Reference Hanging"/>
    <w:basedOn w:val="Normal"/>
    <w:qFormat/>
    <w:rsid w:val="009250A1"/>
    <w:pPr>
      <w:spacing w:after="240" w:line="240" w:lineRule="auto"/>
      <w:ind w:left="720" w:hanging="720"/>
    </w:pPr>
    <w:rPr>
      <w:rFonts w:ascii="Times New Roman" w:eastAsia="Times New Roman" w:hAnsi="Times New Roman" w:cs="Times New Roman"/>
      <w:color w:val="333333"/>
      <w:kern w:val="0"/>
      <w:shd w:val="clear" w:color="auto" w:fill="FFFFFF"/>
      <w14:ligatures w14:val="none"/>
    </w:rPr>
  </w:style>
  <w:style w:type="character" w:customStyle="1" w:styleId="anchor-text">
    <w:name w:val="anchor-text"/>
    <w:basedOn w:val="DefaultParagraphFont"/>
    <w:rsid w:val="00697A15"/>
  </w:style>
  <w:style w:type="character" w:styleId="CommentReference">
    <w:name w:val="annotation reference"/>
    <w:basedOn w:val="DefaultParagraphFont"/>
    <w:uiPriority w:val="99"/>
    <w:semiHidden/>
    <w:unhideWhenUsed/>
    <w:rsid w:val="003C018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6271">
      <w:bodyDiv w:val="1"/>
      <w:marLeft w:val="0"/>
      <w:marRight w:val="0"/>
      <w:marTop w:val="0"/>
      <w:marBottom w:val="0"/>
      <w:divBdr>
        <w:top w:val="none" w:sz="0" w:space="0" w:color="auto"/>
        <w:left w:val="none" w:sz="0" w:space="0" w:color="auto"/>
        <w:bottom w:val="none" w:sz="0" w:space="0" w:color="auto"/>
        <w:right w:val="none" w:sz="0" w:space="0" w:color="auto"/>
      </w:divBdr>
    </w:div>
    <w:div w:id="32510862">
      <w:bodyDiv w:val="1"/>
      <w:marLeft w:val="0"/>
      <w:marRight w:val="0"/>
      <w:marTop w:val="0"/>
      <w:marBottom w:val="0"/>
      <w:divBdr>
        <w:top w:val="none" w:sz="0" w:space="0" w:color="auto"/>
        <w:left w:val="none" w:sz="0" w:space="0" w:color="auto"/>
        <w:bottom w:val="none" w:sz="0" w:space="0" w:color="auto"/>
        <w:right w:val="none" w:sz="0" w:space="0" w:color="auto"/>
      </w:divBdr>
    </w:div>
    <w:div w:id="725300752">
      <w:bodyDiv w:val="1"/>
      <w:marLeft w:val="0"/>
      <w:marRight w:val="0"/>
      <w:marTop w:val="0"/>
      <w:marBottom w:val="0"/>
      <w:divBdr>
        <w:top w:val="none" w:sz="0" w:space="0" w:color="auto"/>
        <w:left w:val="none" w:sz="0" w:space="0" w:color="auto"/>
        <w:bottom w:val="none" w:sz="0" w:space="0" w:color="auto"/>
        <w:right w:val="none" w:sz="0" w:space="0" w:color="auto"/>
      </w:divBdr>
    </w:div>
    <w:div w:id="1520196616">
      <w:bodyDiv w:val="1"/>
      <w:marLeft w:val="0"/>
      <w:marRight w:val="0"/>
      <w:marTop w:val="0"/>
      <w:marBottom w:val="0"/>
      <w:divBdr>
        <w:top w:val="none" w:sz="0" w:space="0" w:color="auto"/>
        <w:left w:val="none" w:sz="0" w:space="0" w:color="auto"/>
        <w:bottom w:val="none" w:sz="0" w:space="0" w:color="auto"/>
        <w:right w:val="none" w:sz="0" w:space="0" w:color="auto"/>
      </w:divBdr>
    </w:div>
    <w:div w:id="179964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1309</Words>
  <Characters>7715</Characters>
  <Application>Microsoft Office Word</Application>
  <DocSecurity>0</DocSecurity>
  <Lines>110</Lines>
  <Paragraphs>22</Paragraphs>
  <ScaleCrop>false</ScaleCrop>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2025-06-06T14:03:00Z</dcterms:created>
  <dcterms:modified xsi:type="dcterms:W3CDTF">2025-08-01T15:20:00Z</dcterms:modified>
</cp:coreProperties>
</file>