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7F6DB" w14:textId="39DD19FE" w:rsidR="00CE6B92" w:rsidRPr="00337487" w:rsidRDefault="00550882" w:rsidP="00550882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337487">
        <w:rPr>
          <w:rFonts w:ascii="Times New Roman" w:hAnsi="Times New Roman" w:cs="Times New Roman"/>
          <w:b/>
          <w:bCs/>
          <w:color w:val="000000" w:themeColor="text1"/>
        </w:rPr>
        <w:t>Navigating Ableist Structures within an Undergraduate Performance Degree</w:t>
      </w:r>
      <w:r w:rsidR="00EA0447" w:rsidRPr="00337487">
        <w:rPr>
          <w:rFonts w:ascii="Times New Roman" w:hAnsi="Times New Roman" w:cs="Times New Roman"/>
          <w:b/>
          <w:bCs/>
          <w:color w:val="000000" w:themeColor="text1"/>
        </w:rPr>
        <w:t xml:space="preserve"> Program</w:t>
      </w:r>
    </w:p>
    <w:p w14:paraId="01816D83" w14:textId="29B59762" w:rsidR="00C35196" w:rsidRPr="0082393B" w:rsidRDefault="000B7560" w:rsidP="000B7560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W</w:t>
      </w:r>
      <w:r w:rsidR="00C35196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>hen researchers examine the lived experiences of individuals with disabilities</w:t>
      </w:r>
      <w:r w:rsidR="0065641E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(IwD)</w:t>
      </w:r>
      <w:r w:rsidR="00C35196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, </w:t>
      </w:r>
      <w:r w:rsidR="00550882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>the</w:t>
      </w:r>
      <w:r w:rsidR="00C35196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ir voices </w:t>
      </w:r>
      <w:r w:rsidR="00550882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>are absent (</w:t>
      </w:r>
      <w:r w:rsidR="00C35196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Author, 2024; </w:t>
      </w:r>
      <w:proofErr w:type="spellStart"/>
      <w:r w:rsidR="00724DDB">
        <w:rPr>
          <w:rFonts w:ascii="Times New Roman" w:hAnsi="Times New Roman" w:cs="Times New Roman"/>
          <w:color w:val="000000" w:themeColor="text1"/>
          <w:shd w:val="clear" w:color="auto" w:fill="FFFFFF"/>
        </w:rPr>
        <w:t>Parkeh</w:t>
      </w:r>
      <w:proofErr w:type="spellEnd"/>
      <w:r w:rsidR="00724DD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et al., 2021</w:t>
      </w:r>
      <w:r w:rsidR="00C35196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>)</w:t>
      </w:r>
      <w:r w:rsidR="00550882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This leaves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IwD </w:t>
      </w:r>
      <w:r w:rsidR="00550882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acted upon, rather than being centered to enact change in their </w:t>
      </w:r>
      <w:r w:rsidR="00C35196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>learning and</w:t>
      </w:r>
      <w:r w:rsidR="00550882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working environments (</w:t>
      </w:r>
      <w:r w:rsidR="00D84BD4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Laes, 2017; </w:t>
      </w:r>
      <w:r w:rsidR="00550882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Loja et al, 2013). </w:t>
      </w:r>
      <w:r w:rsidR="00E504B7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>Research</w:t>
      </w:r>
      <w:r w:rsidR="00C35196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exists regarding the needs of students with disabilities in PK-12 public and private education settings (</w:t>
      </w:r>
      <w:r w:rsidR="00DD1BA7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e.g., </w:t>
      </w:r>
      <w:r w:rsidR="00C35196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Draper, 2022; O'Leary &amp; Moloney, 2020). </w:t>
      </w:r>
      <w:r w:rsidR="0065641E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>Researchers have examined</w:t>
      </w:r>
      <w:r w:rsidR="00C35196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experiences of </w:t>
      </w:r>
      <w:r w:rsidR="0065641E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IwD </w:t>
      </w:r>
      <w:r w:rsidR="00C35196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>in higher education (</w:t>
      </w:r>
      <w:r w:rsidR="00DD1BA7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e.g., </w:t>
      </w:r>
      <w:r w:rsidR="00C40C93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>Lindsey &amp; Fuentes, 2022</w:t>
      </w:r>
      <w:r w:rsidR="00C35196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; Parker &amp; Draves, 2017; </w:t>
      </w:r>
      <w:r w:rsidR="001B1901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Thompson-Ebanks &amp; Jarman, 2017; </w:t>
      </w:r>
      <w:r w:rsidR="00C35196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>Thompson et al., 2024)</w:t>
      </w:r>
      <w:r w:rsidR="0065641E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>. Few</w:t>
      </w:r>
      <w:r w:rsidR="00D6545B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65641E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have included the voices of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IwD </w:t>
      </w:r>
      <w:r w:rsidR="00E504B7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>during the research process</w:t>
      </w:r>
      <w:r w:rsidR="0065641E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</w:t>
      </w:r>
      <w:r w:rsidR="00E504B7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e.g., Author, 2024, </w:t>
      </w:r>
      <w:r w:rsidR="0065641E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Knapp et al, 2024). Additional research exists on IwD within </w:t>
      </w:r>
      <w:r w:rsidR="0054117F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>performance degrees</w:t>
      </w:r>
      <w:r w:rsidR="0065641E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and </w:t>
      </w:r>
      <w:r w:rsidR="0054117F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>career spaces</w:t>
      </w:r>
      <w:r w:rsidR="0065641E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</w:t>
      </w:r>
      <w:r w:rsidR="00B8353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e.g., </w:t>
      </w:r>
      <w:r w:rsidR="0065641E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Band et al., 2011; </w:t>
      </w:r>
      <w:proofErr w:type="spellStart"/>
      <w:r w:rsidR="0065641E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>Honis</w:t>
      </w:r>
      <w:r w:rsidR="00C40C93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>c</w:t>
      </w:r>
      <w:r w:rsidR="0065641E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>h</w:t>
      </w:r>
      <w:proofErr w:type="spellEnd"/>
      <w:r w:rsidR="0065641E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, 2009; Oakland et al., 2014; </w:t>
      </w:r>
      <w:r w:rsidR="00D84BD4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Sandahl, </w:t>
      </w:r>
      <w:r w:rsidR="00B83531">
        <w:rPr>
          <w:rFonts w:ascii="Times New Roman" w:hAnsi="Times New Roman" w:cs="Times New Roman"/>
          <w:color w:val="000000" w:themeColor="text1"/>
          <w:shd w:val="clear" w:color="auto" w:fill="FFFFFF"/>
        </w:rPr>
        <w:t>2019</w:t>
      </w:r>
      <w:r w:rsidR="0065641E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); however, most literature is from the perspective of the researcher or is situated </w:t>
      </w:r>
      <w:r w:rsidR="00EA0447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>in</w:t>
      </w:r>
      <w:r w:rsidR="0065641E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EA0447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>“bootstrap” theory (Hughey, 2008) or</w:t>
      </w:r>
      <w:r w:rsidR="0065641E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disability porn (Young, </w:t>
      </w:r>
      <w:r w:rsidR="00EA0447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>2014)</w:t>
      </w:r>
      <w:r w:rsidR="0065641E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</w:t>
      </w:r>
    </w:p>
    <w:p w14:paraId="49BB1CEC" w14:textId="5DFFBF40" w:rsidR="00582A07" w:rsidRDefault="00405AFF" w:rsidP="00582A07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>The</w:t>
      </w:r>
      <w:r w:rsidR="00EA0447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voice of the IwD is </w:t>
      </w:r>
      <w:r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necessary in the development and dissemination of research in order for meaningful change to occur within academic and performance spaces. Therefore, </w:t>
      </w:r>
      <w:r w:rsidR="00EA0447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>t</w:t>
      </w:r>
      <w:r w:rsidR="00550882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he purpose of this emancipatory narrative inquiry </w:t>
      </w:r>
      <w:r w:rsidR="00B83531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(Clandinin &amp; Connelly, 2002; Barnes &amp; Sheldon, 2007; Davis, 2004) </w:t>
      </w:r>
      <w:r w:rsidR="00550882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>is to examine the experiences of an individual with apparent and non-apparent disabilities navigating academic and performance spaces</w:t>
      </w:r>
      <w:r w:rsidR="000B7560">
        <w:rPr>
          <w:rFonts w:ascii="Times New Roman" w:hAnsi="Times New Roman" w:cs="Times New Roman"/>
          <w:color w:val="000000" w:themeColor="text1"/>
          <w:shd w:val="clear" w:color="auto" w:fill="FFFFFF"/>
        </w:rPr>
        <w:t>.</w:t>
      </w:r>
      <w:r w:rsidR="00EA0447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Specific </w:t>
      </w:r>
      <w:r w:rsidR="00582A07">
        <w:rPr>
          <w:rFonts w:ascii="Times New Roman" w:hAnsi="Times New Roman" w:cs="Times New Roman"/>
          <w:color w:val="000000" w:themeColor="text1"/>
          <w:shd w:val="clear" w:color="auto" w:fill="FFFFFF"/>
        </w:rPr>
        <w:t>threads of</w:t>
      </w:r>
      <w:r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inquiry include</w:t>
      </w:r>
      <w:r w:rsidR="00582A07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1) the influence of peer and professorial perceptions on degree and performance opportunities</w:t>
      </w:r>
      <w:r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 2) </w:t>
      </w:r>
      <w:r w:rsidR="00582A07">
        <w:rPr>
          <w:rFonts w:ascii="Times New Roman" w:hAnsi="Times New Roman" w:cs="Times New Roman"/>
          <w:color w:val="000000" w:themeColor="text1"/>
          <w:shd w:val="clear" w:color="auto" w:fill="FFFFFF"/>
        </w:rPr>
        <w:t>the influence of peer and professorial interactions on self-efficacy to fulfill student/performance roles, and 3) the interaction of social and physical ‘space” on access to academic and performance structures.</w:t>
      </w:r>
    </w:p>
    <w:p w14:paraId="165F4717" w14:textId="5ABC5736" w:rsidR="00D6545B" w:rsidRPr="0082393B" w:rsidRDefault="00D6545B" w:rsidP="00D6545B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>IRB approval was obtained in June 2025. Data collection began in July wh</w:t>
      </w:r>
      <w:r w:rsidR="00B83531">
        <w:rPr>
          <w:rFonts w:ascii="Times New Roman" w:hAnsi="Times New Roman" w:cs="Times New Roman"/>
          <w:color w:val="000000" w:themeColor="text1"/>
          <w:shd w:val="clear" w:color="auto" w:fill="FFFFFF"/>
        </w:rPr>
        <w:t>ile</w:t>
      </w:r>
      <w:r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author one participated in a young artists opera program. Author two has provided author one journal </w:t>
      </w:r>
      <w:r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lastRenderedPageBreak/>
        <w:t xml:space="preserve">prompts, throughout the data collection period, and </w:t>
      </w:r>
      <w:r w:rsidR="00B83531">
        <w:rPr>
          <w:rFonts w:ascii="Times New Roman" w:hAnsi="Times New Roman" w:cs="Times New Roman"/>
          <w:color w:val="000000" w:themeColor="text1"/>
          <w:shd w:val="clear" w:color="auto" w:fill="FFFFFF"/>
        </w:rPr>
        <w:t>authors</w:t>
      </w:r>
      <w:r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continue to meet bi-monthly to </w:t>
      </w:r>
      <w:r w:rsidR="00B83531">
        <w:rPr>
          <w:rFonts w:ascii="Times New Roman" w:hAnsi="Times New Roman" w:cs="Times New Roman"/>
          <w:color w:val="000000" w:themeColor="text1"/>
          <w:shd w:val="clear" w:color="auto" w:fill="FFFFFF"/>
        </w:rPr>
        <w:t>examine, discuss, and write</w:t>
      </w:r>
      <w:r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stories </w:t>
      </w:r>
      <w:r w:rsidR="00B83531">
        <w:rPr>
          <w:rFonts w:ascii="Times New Roman" w:hAnsi="Times New Roman" w:cs="Times New Roman"/>
          <w:color w:val="000000" w:themeColor="text1"/>
          <w:shd w:val="clear" w:color="auto" w:fill="FFFFFF"/>
        </w:rPr>
        <w:t>shared with</w:t>
      </w:r>
      <w:r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journal responses. Data collection will be completed by December 2025. We will begin data analysis in January 2026 </w:t>
      </w:r>
      <w:r w:rsidR="004F03D0">
        <w:rPr>
          <w:rFonts w:ascii="Times New Roman" w:hAnsi="Times New Roman" w:cs="Times New Roman"/>
          <w:color w:val="000000" w:themeColor="text1"/>
          <w:shd w:val="clear" w:color="auto" w:fill="FFFFFF"/>
        </w:rPr>
        <w:t>seeking</w:t>
      </w:r>
      <w:r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common themes and </w:t>
      </w:r>
      <w:r w:rsidR="000B756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threads </w:t>
      </w:r>
      <w:r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>as related to</w:t>
      </w:r>
      <w:r w:rsidR="000B756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evolved understandings of</w:t>
      </w:r>
      <w:r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location, space, time, and sociality (Bruce et al., 2016; Lindsay &amp; Schwind, 2016</w:t>
      </w:r>
      <w:r w:rsidR="00C40C93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>; Pino Gavidia &amp; Adu, 2022</w:t>
      </w:r>
      <w:r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). We will complete data analysis by March 2026. </w:t>
      </w:r>
      <w:r w:rsidR="000B7560">
        <w:rPr>
          <w:rFonts w:ascii="Times New Roman" w:hAnsi="Times New Roman" w:cs="Times New Roman"/>
          <w:color w:val="000000" w:themeColor="text1"/>
          <w:shd w:val="clear" w:color="auto" w:fill="FFFFFF"/>
        </w:rPr>
        <w:t>We seek to</w:t>
      </w:r>
      <w:r w:rsidR="000B7560" w:rsidRPr="008239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dismantle barriers and name systemic issues that IwD have and may encounter when seeking a career in performance</w:t>
      </w:r>
      <w:r w:rsidR="000B756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by sharing author one’s experiences.</w:t>
      </w:r>
    </w:p>
    <w:p w14:paraId="34A4024B" w14:textId="65C1C88B" w:rsidR="00550882" w:rsidRPr="0082393B" w:rsidRDefault="00DD1BA7" w:rsidP="00550882">
      <w:pPr>
        <w:rPr>
          <w:rFonts w:ascii="Times New Roman" w:hAnsi="Times New Roman" w:cs="Times New Roman"/>
          <w:color w:val="000000" w:themeColor="text1"/>
        </w:rPr>
      </w:pPr>
      <w:r w:rsidRPr="0082393B">
        <w:rPr>
          <w:rFonts w:ascii="Times New Roman" w:hAnsi="Times New Roman" w:cs="Times New Roman"/>
          <w:color w:val="000000" w:themeColor="text1"/>
        </w:rPr>
        <w:t>Word Count: 4</w:t>
      </w:r>
      <w:r w:rsidR="00582A07">
        <w:rPr>
          <w:rFonts w:ascii="Times New Roman" w:hAnsi="Times New Roman" w:cs="Times New Roman"/>
          <w:color w:val="000000" w:themeColor="text1"/>
        </w:rPr>
        <w:t>00</w:t>
      </w:r>
    </w:p>
    <w:p w14:paraId="0C6FF19C" w14:textId="18C9E837" w:rsidR="00DD1BA7" w:rsidRPr="0082393B" w:rsidRDefault="00DD1BA7" w:rsidP="00DD1BA7">
      <w:pPr>
        <w:jc w:val="center"/>
        <w:rPr>
          <w:rFonts w:ascii="Times New Roman" w:hAnsi="Times New Roman" w:cs="Times New Roman"/>
          <w:color w:val="000000" w:themeColor="text1"/>
        </w:rPr>
      </w:pPr>
      <w:r w:rsidRPr="0082393B">
        <w:rPr>
          <w:rFonts w:ascii="Times New Roman" w:hAnsi="Times New Roman" w:cs="Times New Roman"/>
          <w:color w:val="000000" w:themeColor="text1"/>
        </w:rPr>
        <w:t>References</w:t>
      </w:r>
    </w:p>
    <w:p w14:paraId="587D3054" w14:textId="77777777" w:rsidR="00D84BD4" w:rsidRPr="0082393B" w:rsidRDefault="00D84BD4" w:rsidP="00D84BD4">
      <w:pPr>
        <w:pStyle w:val="ReferenceHanging"/>
        <w:spacing w:after="0"/>
        <w:ind w:left="0" w:firstLine="0"/>
        <w:rPr>
          <w:color w:val="000000" w:themeColor="text1"/>
        </w:rPr>
      </w:pPr>
    </w:p>
    <w:p w14:paraId="297BBDC2" w14:textId="0CB4A075" w:rsidR="00895A12" w:rsidRPr="0082393B" w:rsidRDefault="00895A12" w:rsidP="00D84BD4">
      <w:pPr>
        <w:pStyle w:val="ReferenceHanging"/>
        <w:spacing w:after="0"/>
        <w:rPr>
          <w:color w:val="000000" w:themeColor="text1"/>
        </w:rPr>
      </w:pPr>
      <w:r w:rsidRPr="0082393B">
        <w:rPr>
          <w:color w:val="000000" w:themeColor="text1"/>
        </w:rPr>
        <w:t>Author (2024). Redacted for anonymity.</w:t>
      </w:r>
    </w:p>
    <w:p w14:paraId="27852AFA" w14:textId="77777777" w:rsidR="00895A12" w:rsidRPr="0082393B" w:rsidRDefault="00895A12" w:rsidP="00D84BD4">
      <w:pPr>
        <w:pStyle w:val="ReferenceHanging"/>
        <w:spacing w:after="0"/>
        <w:rPr>
          <w:color w:val="000000" w:themeColor="text1"/>
        </w:rPr>
      </w:pPr>
    </w:p>
    <w:p w14:paraId="55E4CF9C" w14:textId="0F256AB8" w:rsidR="00895A12" w:rsidRPr="0082393B" w:rsidRDefault="00895A12" w:rsidP="00D84BD4">
      <w:pPr>
        <w:pStyle w:val="ReferenceHanging"/>
        <w:spacing w:after="0"/>
        <w:rPr>
          <w:color w:val="000000" w:themeColor="text1"/>
        </w:rPr>
      </w:pPr>
      <w:r w:rsidRPr="0082393B">
        <w:rPr>
          <w:color w:val="000000" w:themeColor="text1"/>
        </w:rPr>
        <w:t xml:space="preserve">Band, S. A., Lindsay, g., Neelands, J., &amp; </w:t>
      </w:r>
      <w:proofErr w:type="spellStart"/>
      <w:r w:rsidRPr="0082393B">
        <w:rPr>
          <w:color w:val="000000" w:themeColor="text1"/>
        </w:rPr>
        <w:t>Freakley</w:t>
      </w:r>
      <w:proofErr w:type="spellEnd"/>
      <w:r w:rsidRPr="0082393B">
        <w:rPr>
          <w:color w:val="000000" w:themeColor="text1"/>
        </w:rPr>
        <w:t xml:space="preserve">, V. (2011). Disabled students in the performing arts – are we setting them up to succeed. </w:t>
      </w:r>
      <w:r w:rsidRPr="0082393B">
        <w:rPr>
          <w:i/>
          <w:iCs/>
          <w:color w:val="000000" w:themeColor="text1"/>
        </w:rPr>
        <w:t>International Journal of Inclusive Education</w:t>
      </w:r>
      <w:r w:rsidRPr="0082393B">
        <w:rPr>
          <w:color w:val="000000" w:themeColor="text1"/>
        </w:rPr>
        <w:t xml:space="preserve">, </w:t>
      </w:r>
      <w:r w:rsidRPr="0082393B">
        <w:rPr>
          <w:i/>
          <w:iCs/>
          <w:color w:val="000000" w:themeColor="text1"/>
        </w:rPr>
        <w:t>15</w:t>
      </w:r>
      <w:r w:rsidRPr="0082393B">
        <w:rPr>
          <w:color w:val="000000" w:themeColor="text1"/>
        </w:rPr>
        <w:t>(9), 891-908. https://doi.org/10.1080/13603110903452903</w:t>
      </w:r>
    </w:p>
    <w:p w14:paraId="13A6B2F2" w14:textId="77777777" w:rsidR="00895A12" w:rsidRPr="0082393B" w:rsidRDefault="00895A12" w:rsidP="00D84BD4">
      <w:pPr>
        <w:pStyle w:val="ReferenceHanging"/>
        <w:spacing w:after="0"/>
        <w:rPr>
          <w:color w:val="000000" w:themeColor="text1"/>
        </w:rPr>
      </w:pPr>
    </w:p>
    <w:p w14:paraId="55B3EB38" w14:textId="2C04F983" w:rsidR="00D84BD4" w:rsidRPr="0082393B" w:rsidRDefault="00D84BD4" w:rsidP="00D84BD4">
      <w:pPr>
        <w:pStyle w:val="ReferenceHanging"/>
        <w:spacing w:after="0"/>
        <w:rPr>
          <w:color w:val="000000" w:themeColor="text1"/>
        </w:rPr>
      </w:pPr>
      <w:r w:rsidRPr="0082393B">
        <w:rPr>
          <w:color w:val="000000" w:themeColor="text1"/>
        </w:rPr>
        <w:t xml:space="preserve">Barnes, C., and Sheldon, A. (2007). ‘Emancipatory’ disability research and special education needs. In Lani Florian (Ed.) </w:t>
      </w:r>
      <w:r w:rsidRPr="0082393B">
        <w:rPr>
          <w:i/>
          <w:iCs/>
          <w:color w:val="000000" w:themeColor="text1"/>
        </w:rPr>
        <w:t>The Sage Handbook of Special Education</w:t>
      </w:r>
      <w:r w:rsidRPr="0082393B">
        <w:rPr>
          <w:color w:val="000000" w:themeColor="text1"/>
        </w:rPr>
        <w:t>. California: SAGE</w:t>
      </w:r>
    </w:p>
    <w:p w14:paraId="7253A1FA" w14:textId="77777777" w:rsidR="00D84BD4" w:rsidRPr="0082393B" w:rsidRDefault="00D84BD4" w:rsidP="00D84BD4">
      <w:pPr>
        <w:pStyle w:val="ReferenceHanging"/>
        <w:spacing w:after="0"/>
        <w:rPr>
          <w:color w:val="000000" w:themeColor="text1"/>
        </w:rPr>
      </w:pPr>
    </w:p>
    <w:p w14:paraId="0D79DD79" w14:textId="0D39EECE" w:rsidR="00D84BD4" w:rsidRPr="0082393B" w:rsidRDefault="00D84BD4" w:rsidP="00D84BD4">
      <w:pPr>
        <w:pStyle w:val="NormalWeb"/>
        <w:spacing w:before="0" w:beforeAutospacing="0" w:after="240" w:afterAutospacing="0"/>
        <w:ind w:left="720" w:hanging="720"/>
        <w:rPr>
          <w:color w:val="000000" w:themeColor="text1"/>
          <w:shd w:val="clear" w:color="auto" w:fill="FFFFFF"/>
        </w:rPr>
      </w:pPr>
      <w:r w:rsidRPr="0082393B">
        <w:rPr>
          <w:color w:val="000000" w:themeColor="text1"/>
          <w:shd w:val="clear" w:color="auto" w:fill="FFFFFF"/>
        </w:rPr>
        <w:t xml:space="preserve">Bruce, A., Beuthin, R., Sheilds, L., Molzahn, A., &amp; Schick-Makaroff, K. (2016). Narrative research evolving: Evolving through narrative research. </w:t>
      </w:r>
      <w:r w:rsidRPr="0082393B">
        <w:rPr>
          <w:i/>
          <w:iCs/>
          <w:color w:val="000000" w:themeColor="text1"/>
          <w:shd w:val="clear" w:color="auto" w:fill="FFFFFF"/>
        </w:rPr>
        <w:t>International Journa</w:t>
      </w:r>
      <w:r w:rsidR="00006697">
        <w:rPr>
          <w:i/>
          <w:iCs/>
          <w:color w:val="000000" w:themeColor="text1"/>
          <w:shd w:val="clear" w:color="auto" w:fill="FFFFFF"/>
        </w:rPr>
        <w:t>l</w:t>
      </w:r>
      <w:r w:rsidRPr="0082393B">
        <w:rPr>
          <w:i/>
          <w:iCs/>
          <w:color w:val="000000" w:themeColor="text1"/>
          <w:shd w:val="clear" w:color="auto" w:fill="FFFFFF"/>
        </w:rPr>
        <w:t xml:space="preserve"> of Qualitative Methods</w:t>
      </w:r>
      <w:r w:rsidRPr="0082393B">
        <w:rPr>
          <w:color w:val="000000" w:themeColor="text1"/>
          <w:shd w:val="clear" w:color="auto" w:fill="FFFFFF"/>
        </w:rPr>
        <w:t>, January-</w:t>
      </w:r>
      <w:proofErr w:type="gramStart"/>
      <w:r w:rsidRPr="0082393B">
        <w:rPr>
          <w:color w:val="000000" w:themeColor="text1"/>
          <w:shd w:val="clear" w:color="auto" w:fill="FFFFFF"/>
        </w:rPr>
        <w:t>December,</w:t>
      </w:r>
      <w:proofErr w:type="gramEnd"/>
      <w:r w:rsidRPr="0082393B">
        <w:rPr>
          <w:color w:val="000000" w:themeColor="text1"/>
          <w:shd w:val="clear" w:color="auto" w:fill="FFFFFF"/>
        </w:rPr>
        <w:t xml:space="preserve"> 1-6. https://doi.org/10.1177/1609406916659292</w:t>
      </w:r>
    </w:p>
    <w:p w14:paraId="2146E36A" w14:textId="05505818" w:rsidR="00D84BD4" w:rsidRPr="0082393B" w:rsidRDefault="00D84BD4" w:rsidP="00B46C27">
      <w:pPr>
        <w:pStyle w:val="NormalWeb"/>
        <w:spacing w:before="0" w:beforeAutospacing="0" w:after="240" w:afterAutospacing="0"/>
        <w:ind w:left="720" w:hanging="720"/>
        <w:rPr>
          <w:color w:val="000000" w:themeColor="text1"/>
        </w:rPr>
      </w:pPr>
      <w:r w:rsidRPr="0082393B">
        <w:rPr>
          <w:color w:val="000000" w:themeColor="text1"/>
          <w:shd w:val="clear" w:color="auto" w:fill="FFFFFF"/>
        </w:rPr>
        <w:t xml:space="preserve">Clandinin, D. J. &amp; Connelly, F. M. (2002). </w:t>
      </w:r>
      <w:r w:rsidRPr="0082393B">
        <w:rPr>
          <w:i/>
          <w:iCs/>
          <w:color w:val="000000" w:themeColor="text1"/>
          <w:shd w:val="clear" w:color="auto" w:fill="FFFFFF"/>
        </w:rPr>
        <w:t>Narrative inquiry: Experience and Story in Qualitative Research</w:t>
      </w:r>
      <w:r w:rsidRPr="0082393B">
        <w:rPr>
          <w:color w:val="000000" w:themeColor="text1"/>
          <w:shd w:val="clear" w:color="auto" w:fill="FFFFFF"/>
        </w:rPr>
        <w:t>. Jossey-Bass.</w:t>
      </w:r>
    </w:p>
    <w:p w14:paraId="77DFC46E" w14:textId="153CA4A5" w:rsidR="00D84BD4" w:rsidRPr="0082393B" w:rsidRDefault="00D84BD4" w:rsidP="00C40C93">
      <w:pPr>
        <w:pStyle w:val="ReferenceHanging"/>
        <w:spacing w:after="0"/>
        <w:rPr>
          <w:color w:val="000000" w:themeColor="text1"/>
        </w:rPr>
      </w:pPr>
      <w:r w:rsidRPr="0082393B">
        <w:rPr>
          <w:color w:val="000000" w:themeColor="text1"/>
        </w:rPr>
        <w:t xml:space="preserve">Davis, J. M. (2004). Research with children: Ethnography, participation, disability, self-empowerment. In Colin Barnes and Geof Mercer (Eds.)  </w:t>
      </w:r>
      <w:r w:rsidRPr="0082393B">
        <w:rPr>
          <w:i/>
          <w:iCs/>
          <w:color w:val="000000" w:themeColor="text1"/>
        </w:rPr>
        <w:t>Implementing the social model of disability: Theory and research</w:t>
      </w:r>
      <w:r w:rsidRPr="0082393B">
        <w:rPr>
          <w:color w:val="000000" w:themeColor="text1"/>
        </w:rPr>
        <w:t>. The Disability Press.</w:t>
      </w:r>
    </w:p>
    <w:p w14:paraId="00F4607C" w14:textId="77777777" w:rsidR="00C40C93" w:rsidRPr="0082393B" w:rsidRDefault="00C40C93" w:rsidP="00C40C93">
      <w:pPr>
        <w:pStyle w:val="ReferenceHanging"/>
        <w:spacing w:after="0"/>
        <w:rPr>
          <w:color w:val="000000" w:themeColor="text1"/>
        </w:rPr>
      </w:pPr>
    </w:p>
    <w:p w14:paraId="5AFD3401" w14:textId="658C27A1" w:rsidR="00D627EC" w:rsidRPr="0082393B" w:rsidRDefault="00D627EC" w:rsidP="00D627EC">
      <w:pPr>
        <w:pStyle w:val="ReferenceHanging"/>
        <w:rPr>
          <w:color w:val="000000" w:themeColor="text1"/>
        </w:rPr>
      </w:pPr>
      <w:r w:rsidRPr="0082393B">
        <w:rPr>
          <w:color w:val="000000" w:themeColor="text1"/>
        </w:rPr>
        <w:t xml:space="preserve">Draper, A. (2022). Music education for students with </w:t>
      </w:r>
      <w:proofErr w:type="gramStart"/>
      <w:r w:rsidRPr="0082393B">
        <w:rPr>
          <w:color w:val="000000" w:themeColor="text1"/>
        </w:rPr>
        <w:t>Autism Spectrum Disorder</w:t>
      </w:r>
      <w:proofErr w:type="gramEnd"/>
      <w:r w:rsidRPr="0082393B">
        <w:rPr>
          <w:color w:val="000000" w:themeColor="text1"/>
        </w:rPr>
        <w:t xml:space="preserve"> in a full-inclusion context. </w:t>
      </w:r>
      <w:r w:rsidRPr="0082393B">
        <w:rPr>
          <w:i/>
          <w:iCs/>
          <w:color w:val="000000" w:themeColor="text1"/>
        </w:rPr>
        <w:t>Journal of Research in Music Education</w:t>
      </w:r>
      <w:r w:rsidRPr="0082393B">
        <w:rPr>
          <w:color w:val="000000" w:themeColor="text1"/>
        </w:rPr>
        <w:t xml:space="preserve">, </w:t>
      </w:r>
      <w:r w:rsidRPr="0082393B">
        <w:rPr>
          <w:i/>
          <w:iCs/>
          <w:color w:val="000000" w:themeColor="text1"/>
        </w:rPr>
        <w:t>70</w:t>
      </w:r>
      <w:r w:rsidRPr="0082393B">
        <w:rPr>
          <w:color w:val="000000" w:themeColor="text1"/>
        </w:rPr>
        <w:t>(2) 132-155. https://doi.org.10.1177/00224294211042833</w:t>
      </w:r>
    </w:p>
    <w:p w14:paraId="09B439CA" w14:textId="6392D222" w:rsidR="00196FD7" w:rsidRPr="0082393B" w:rsidRDefault="00196FD7" w:rsidP="00D84BD4">
      <w:pPr>
        <w:pStyle w:val="NormalWeb"/>
        <w:spacing w:before="0" w:beforeAutospacing="0" w:after="240" w:afterAutospacing="0"/>
        <w:ind w:left="720" w:hanging="720"/>
        <w:rPr>
          <w:color w:val="000000" w:themeColor="text1"/>
          <w:shd w:val="clear" w:color="auto" w:fill="FFFFFF"/>
        </w:rPr>
      </w:pPr>
      <w:proofErr w:type="spellStart"/>
      <w:r w:rsidRPr="0082393B">
        <w:rPr>
          <w:color w:val="000000" w:themeColor="text1"/>
          <w:shd w:val="clear" w:color="auto" w:fill="FFFFFF"/>
        </w:rPr>
        <w:lastRenderedPageBreak/>
        <w:t>Honisch</w:t>
      </w:r>
      <w:proofErr w:type="spellEnd"/>
      <w:r w:rsidRPr="0082393B">
        <w:rPr>
          <w:color w:val="000000" w:themeColor="text1"/>
          <w:shd w:val="clear" w:color="auto" w:fill="FFFFFF"/>
        </w:rPr>
        <w:t xml:space="preserve">, S. S. </w:t>
      </w:r>
      <w:r w:rsidR="00B6105D">
        <w:rPr>
          <w:color w:val="000000" w:themeColor="text1"/>
          <w:shd w:val="clear" w:color="auto" w:fill="FFFFFF"/>
        </w:rPr>
        <w:t>(</w:t>
      </w:r>
      <w:r w:rsidRPr="0082393B">
        <w:rPr>
          <w:color w:val="000000" w:themeColor="text1"/>
          <w:shd w:val="clear" w:color="auto" w:fill="FFFFFF"/>
        </w:rPr>
        <w:t xml:space="preserve">2009). The road to marginalization is paved with good intentions: In pursuit of the re-humanization of physically impaired musicians. </w:t>
      </w:r>
      <w:r w:rsidRPr="0082393B">
        <w:rPr>
          <w:i/>
          <w:iCs/>
          <w:color w:val="000000" w:themeColor="text1"/>
          <w:shd w:val="clear" w:color="auto" w:fill="FFFFFF"/>
        </w:rPr>
        <w:t>International Journal of Inclusive Education</w:t>
      </w:r>
      <w:r w:rsidRPr="0082393B">
        <w:rPr>
          <w:color w:val="000000" w:themeColor="text1"/>
          <w:shd w:val="clear" w:color="auto" w:fill="FFFFFF"/>
        </w:rPr>
        <w:t xml:space="preserve">, </w:t>
      </w:r>
      <w:r w:rsidRPr="0082393B">
        <w:rPr>
          <w:i/>
          <w:iCs/>
          <w:color w:val="000000" w:themeColor="text1"/>
          <w:shd w:val="clear" w:color="auto" w:fill="FFFFFF"/>
        </w:rPr>
        <w:t>13</w:t>
      </w:r>
      <w:r w:rsidRPr="0082393B">
        <w:rPr>
          <w:color w:val="000000" w:themeColor="text1"/>
          <w:shd w:val="clear" w:color="auto" w:fill="FFFFFF"/>
        </w:rPr>
        <w:t>(7), 767-783. https://doi.org/10.1080/13603110903046051</w:t>
      </w:r>
    </w:p>
    <w:p w14:paraId="7973112C" w14:textId="20FEF932" w:rsidR="00BA1B6C" w:rsidRPr="0082393B" w:rsidRDefault="00BA1B6C" w:rsidP="00D84BD4">
      <w:pPr>
        <w:pStyle w:val="NormalWeb"/>
        <w:spacing w:before="0" w:beforeAutospacing="0" w:after="240" w:afterAutospacing="0"/>
        <w:ind w:left="720" w:hanging="720"/>
        <w:rPr>
          <w:color w:val="000000" w:themeColor="text1"/>
          <w:shd w:val="clear" w:color="auto" w:fill="FFFFFF"/>
        </w:rPr>
      </w:pPr>
      <w:r w:rsidRPr="0082393B">
        <w:rPr>
          <w:color w:val="000000" w:themeColor="text1"/>
          <w:shd w:val="clear" w:color="auto" w:fill="FFFFFF"/>
        </w:rPr>
        <w:t xml:space="preserve">Hughey, M. W. (2008). Bootstrap theory. In V. N. Parrillo (Ed.) </w:t>
      </w:r>
      <w:r w:rsidRPr="0082393B">
        <w:rPr>
          <w:i/>
          <w:iCs/>
          <w:color w:val="000000" w:themeColor="text1"/>
          <w:shd w:val="clear" w:color="auto" w:fill="FFFFFF"/>
        </w:rPr>
        <w:t xml:space="preserve">Encyclopedia of social problems. </w:t>
      </w:r>
      <w:r w:rsidRPr="0082393B">
        <w:rPr>
          <w:color w:val="000000" w:themeColor="text1"/>
          <w:shd w:val="clear" w:color="auto" w:fill="FFFFFF"/>
        </w:rPr>
        <w:t>SAGE. https://doi.org/10.4135/9781412963930.n58</w:t>
      </w:r>
    </w:p>
    <w:p w14:paraId="5E7F96D6" w14:textId="3606987C" w:rsidR="00D84BD4" w:rsidRPr="0082393B" w:rsidRDefault="00D84BD4" w:rsidP="00D84BD4">
      <w:pPr>
        <w:pStyle w:val="NormalWeb"/>
        <w:spacing w:before="0" w:beforeAutospacing="0" w:after="240" w:afterAutospacing="0"/>
        <w:ind w:left="720" w:hanging="720"/>
        <w:rPr>
          <w:color w:val="000000" w:themeColor="text1"/>
          <w:shd w:val="clear" w:color="auto" w:fill="FFFFFF"/>
        </w:rPr>
      </w:pPr>
      <w:r w:rsidRPr="0082393B">
        <w:rPr>
          <w:color w:val="000000" w:themeColor="text1"/>
          <w:shd w:val="clear" w:color="auto" w:fill="FFFFFF"/>
        </w:rPr>
        <w:t>Knapp, E. J., LoBiondo, J., &amp; Diaz, P.</w:t>
      </w:r>
      <w:r w:rsidR="00784E36">
        <w:rPr>
          <w:color w:val="000000" w:themeColor="text1"/>
          <w:shd w:val="clear" w:color="auto" w:fill="FFFFFF"/>
        </w:rPr>
        <w:t xml:space="preserve"> </w:t>
      </w:r>
      <w:r w:rsidRPr="0082393B">
        <w:rPr>
          <w:color w:val="000000" w:themeColor="text1"/>
          <w:shd w:val="clear" w:color="auto" w:fill="FFFFFF"/>
        </w:rPr>
        <w:t xml:space="preserve">(2024) "“I </w:t>
      </w:r>
      <w:proofErr w:type="gramStart"/>
      <w:r w:rsidRPr="0082393B">
        <w:rPr>
          <w:color w:val="000000" w:themeColor="text1"/>
          <w:shd w:val="clear" w:color="auto" w:fill="FFFFFF"/>
        </w:rPr>
        <w:t>have to</w:t>
      </w:r>
      <w:proofErr w:type="gramEnd"/>
      <w:r w:rsidRPr="0082393B">
        <w:rPr>
          <w:color w:val="000000" w:themeColor="text1"/>
          <w:shd w:val="clear" w:color="auto" w:fill="FFFFFF"/>
        </w:rPr>
        <w:t xml:space="preserve"> convince people I am worth accommodating”: A narrative inquiry of a blind student in undergraduate music education," </w:t>
      </w:r>
      <w:r w:rsidRPr="0082393B">
        <w:rPr>
          <w:i/>
          <w:iCs/>
          <w:color w:val="000000" w:themeColor="text1"/>
          <w:shd w:val="clear" w:color="auto" w:fill="FFFFFF"/>
        </w:rPr>
        <w:t>Visions of Research in Music Education</w:t>
      </w:r>
      <w:r w:rsidRPr="0082393B">
        <w:rPr>
          <w:color w:val="000000" w:themeColor="text1"/>
          <w:shd w:val="clear" w:color="auto" w:fill="FFFFFF"/>
        </w:rPr>
        <w:t xml:space="preserve">, </w:t>
      </w:r>
      <w:r w:rsidRPr="0082393B">
        <w:rPr>
          <w:i/>
          <w:iCs/>
          <w:color w:val="000000" w:themeColor="text1"/>
          <w:shd w:val="clear" w:color="auto" w:fill="FFFFFF"/>
        </w:rPr>
        <w:t>46</w:t>
      </w:r>
      <w:r w:rsidRPr="0082393B">
        <w:rPr>
          <w:color w:val="000000" w:themeColor="text1"/>
          <w:shd w:val="clear" w:color="auto" w:fill="FFFFFF"/>
        </w:rPr>
        <w:t>, https://digitalcommons.lib.uconn.edu/vrme/vol46/iss1/6</w:t>
      </w:r>
    </w:p>
    <w:p w14:paraId="2E6F01C7" w14:textId="77777777" w:rsidR="00D84BD4" w:rsidRPr="0082393B" w:rsidRDefault="00D84BD4" w:rsidP="00D84BD4">
      <w:pPr>
        <w:pStyle w:val="NormalWeb"/>
        <w:spacing w:before="0" w:beforeAutospacing="0" w:after="240" w:afterAutospacing="0"/>
        <w:ind w:left="720" w:hanging="720"/>
        <w:rPr>
          <w:color w:val="000000" w:themeColor="text1"/>
          <w:shd w:val="clear" w:color="auto" w:fill="FFFFFF"/>
        </w:rPr>
      </w:pPr>
      <w:r w:rsidRPr="0082393B">
        <w:rPr>
          <w:color w:val="000000" w:themeColor="text1"/>
          <w:spacing w:val="-5"/>
          <w:shd w:val="clear" w:color="auto" w:fill="FFFFFF"/>
        </w:rPr>
        <w:t>Laes, T. (2017). Beyond participation: A reflexive narrative of the inclusive potentials of activist scholarship in music education. </w:t>
      </w:r>
      <w:r w:rsidRPr="0082393B">
        <w:rPr>
          <w:i/>
          <w:iCs/>
          <w:color w:val="000000" w:themeColor="text1"/>
          <w:spacing w:val="-5"/>
          <w:shd w:val="clear" w:color="auto" w:fill="FFFFFF"/>
        </w:rPr>
        <w:t>Bulletin of the Council for Research in Music Education</w:t>
      </w:r>
      <w:r w:rsidRPr="0082393B">
        <w:rPr>
          <w:color w:val="000000" w:themeColor="text1"/>
          <w:spacing w:val="-5"/>
          <w:shd w:val="clear" w:color="auto" w:fill="FFFFFF"/>
        </w:rPr>
        <w:t>, </w:t>
      </w:r>
      <w:r w:rsidRPr="0082393B">
        <w:rPr>
          <w:i/>
          <w:iCs/>
          <w:color w:val="000000" w:themeColor="text1"/>
          <w:spacing w:val="-5"/>
          <w:shd w:val="clear" w:color="auto" w:fill="FFFFFF"/>
        </w:rPr>
        <w:t>210–211</w:t>
      </w:r>
      <w:r w:rsidRPr="0082393B">
        <w:rPr>
          <w:color w:val="000000" w:themeColor="text1"/>
          <w:spacing w:val="-5"/>
          <w:shd w:val="clear" w:color="auto" w:fill="FFFFFF"/>
        </w:rPr>
        <w:t>, 137–151. https://doi.org/10.5406/bulcouresmusedu.210-211.0137</w:t>
      </w:r>
    </w:p>
    <w:p w14:paraId="73A3FC8B" w14:textId="77777777" w:rsidR="00D84BD4" w:rsidRPr="0082393B" w:rsidRDefault="00D84BD4" w:rsidP="00D84BD4">
      <w:pPr>
        <w:pStyle w:val="NormalWeb"/>
        <w:spacing w:before="0" w:beforeAutospacing="0" w:after="240" w:afterAutospacing="0"/>
        <w:ind w:left="720" w:hanging="720"/>
        <w:rPr>
          <w:color w:val="000000" w:themeColor="text1"/>
          <w:shd w:val="clear" w:color="auto" w:fill="FFFFFF"/>
        </w:rPr>
      </w:pPr>
      <w:r w:rsidRPr="0082393B">
        <w:rPr>
          <w:color w:val="000000" w:themeColor="text1"/>
          <w:shd w:val="clear" w:color="auto" w:fill="FFFFFF"/>
        </w:rPr>
        <w:t>Lindsay, G. M., &amp; Schwind, J. K. (2016). Narrative inquiry: Experience matters.</w:t>
      </w:r>
      <w:r w:rsidRPr="0082393B">
        <w:rPr>
          <w:i/>
          <w:iCs/>
          <w:color w:val="000000" w:themeColor="text1"/>
          <w:shd w:val="clear" w:color="auto" w:fill="FFFFFF"/>
        </w:rPr>
        <w:t xml:space="preserve"> Canadian Journal of Nursing Research</w:t>
      </w:r>
      <w:r w:rsidRPr="0082393B">
        <w:rPr>
          <w:color w:val="000000" w:themeColor="text1"/>
          <w:shd w:val="clear" w:color="auto" w:fill="FFFFFF"/>
        </w:rPr>
        <w:t xml:space="preserve">, </w:t>
      </w:r>
      <w:r w:rsidRPr="0082393B">
        <w:rPr>
          <w:i/>
          <w:iCs/>
          <w:color w:val="000000" w:themeColor="text1"/>
          <w:shd w:val="clear" w:color="auto" w:fill="FFFFFF"/>
        </w:rPr>
        <w:t>48</w:t>
      </w:r>
      <w:r w:rsidRPr="0082393B">
        <w:rPr>
          <w:color w:val="000000" w:themeColor="text1"/>
          <w:shd w:val="clear" w:color="auto" w:fill="FFFFFF"/>
        </w:rPr>
        <w:t>(1), 14-20. https://doi.org/10.1177/0844562116652230</w:t>
      </w:r>
    </w:p>
    <w:p w14:paraId="751C44BF" w14:textId="77777777" w:rsidR="00D84BD4" w:rsidRPr="0082393B" w:rsidRDefault="00D84BD4" w:rsidP="00D84BD4">
      <w:pPr>
        <w:pStyle w:val="NormalWeb"/>
        <w:spacing w:before="0" w:beforeAutospacing="0" w:after="240" w:afterAutospacing="0"/>
        <w:ind w:left="720" w:hanging="720"/>
        <w:rPr>
          <w:color w:val="000000" w:themeColor="text1"/>
          <w:shd w:val="clear" w:color="auto" w:fill="FFFFFF"/>
        </w:rPr>
      </w:pPr>
      <w:r w:rsidRPr="0082393B">
        <w:rPr>
          <w:color w:val="000000" w:themeColor="text1"/>
          <w:shd w:val="clear" w:color="auto" w:fill="FFFFFF"/>
        </w:rPr>
        <w:t xml:space="preserve">Lindsey, S., &amp; Fuentes, K. (2022). It is time to address ableism in academia: A systematic review of the experiences and impact of ableism among faculty and staff. </w:t>
      </w:r>
      <w:r w:rsidRPr="0082393B">
        <w:rPr>
          <w:i/>
          <w:iCs/>
          <w:color w:val="000000" w:themeColor="text1"/>
          <w:shd w:val="clear" w:color="auto" w:fill="FFFFFF"/>
        </w:rPr>
        <w:t>Disabilities</w:t>
      </w:r>
      <w:r w:rsidRPr="0082393B">
        <w:rPr>
          <w:color w:val="000000" w:themeColor="text1"/>
          <w:shd w:val="clear" w:color="auto" w:fill="FFFFFF"/>
        </w:rPr>
        <w:t xml:space="preserve">, </w:t>
      </w:r>
      <w:r w:rsidRPr="0082393B">
        <w:rPr>
          <w:i/>
          <w:iCs/>
          <w:color w:val="000000" w:themeColor="text1"/>
          <w:shd w:val="clear" w:color="auto" w:fill="FFFFFF"/>
        </w:rPr>
        <w:t>2</w:t>
      </w:r>
      <w:r w:rsidRPr="0082393B">
        <w:rPr>
          <w:color w:val="000000" w:themeColor="text1"/>
          <w:shd w:val="clear" w:color="auto" w:fill="FFFFFF"/>
        </w:rPr>
        <w:t>(2), 178-203. https://doi.org/10.3390/disabilities2020014</w:t>
      </w:r>
    </w:p>
    <w:p w14:paraId="5E8374A8" w14:textId="31D62E95" w:rsidR="009F2D37" w:rsidRPr="0082393B" w:rsidRDefault="009F2D37" w:rsidP="009F2D37">
      <w:pPr>
        <w:pStyle w:val="ReferenceHanging"/>
        <w:rPr>
          <w:color w:val="000000" w:themeColor="text1"/>
        </w:rPr>
      </w:pPr>
      <w:r w:rsidRPr="0082393B">
        <w:rPr>
          <w:color w:val="000000" w:themeColor="text1"/>
        </w:rPr>
        <w:t xml:space="preserve">Loja, E., Costa, M. E., Hughes, B., &amp; Menezes, I. (2013). Disability, embodiment and ableism: stories of resistance. </w:t>
      </w:r>
      <w:r w:rsidRPr="0082393B">
        <w:rPr>
          <w:i/>
          <w:iCs/>
          <w:color w:val="000000" w:themeColor="text1"/>
        </w:rPr>
        <w:t>Disability &amp; Society</w:t>
      </w:r>
      <w:r w:rsidRPr="0082393B">
        <w:rPr>
          <w:color w:val="000000" w:themeColor="text1"/>
        </w:rPr>
        <w:t xml:space="preserve">, </w:t>
      </w:r>
      <w:r w:rsidRPr="0082393B">
        <w:rPr>
          <w:i/>
          <w:iCs/>
          <w:color w:val="000000" w:themeColor="text1"/>
        </w:rPr>
        <w:t>28</w:t>
      </w:r>
      <w:r w:rsidRPr="0082393B">
        <w:rPr>
          <w:color w:val="000000" w:themeColor="text1"/>
        </w:rPr>
        <w:t>(2), 190-203. https://doi.org/10.1080/09687599.2012.705057</w:t>
      </w:r>
    </w:p>
    <w:p w14:paraId="6693CD94" w14:textId="0DA2C509" w:rsidR="00BA1B6C" w:rsidRPr="0082393B" w:rsidRDefault="00BA1B6C" w:rsidP="00E504B7">
      <w:pPr>
        <w:pStyle w:val="ReferenceHanging"/>
        <w:rPr>
          <w:color w:val="000000" w:themeColor="text1"/>
        </w:rPr>
      </w:pPr>
      <w:r w:rsidRPr="0082393B">
        <w:rPr>
          <w:color w:val="000000" w:themeColor="text1"/>
        </w:rPr>
        <w:t xml:space="preserve">Oakland, J., MacDonald, R., &amp; Flowers, P. (2014). Musical disembodiment: A phenomenological case study investigating the experiences of operative career disruption due to physical incapacity. </w:t>
      </w:r>
      <w:r w:rsidRPr="0082393B">
        <w:rPr>
          <w:i/>
          <w:iCs/>
          <w:color w:val="000000" w:themeColor="text1"/>
        </w:rPr>
        <w:t>Research Studies in Music Education</w:t>
      </w:r>
      <w:r w:rsidRPr="0082393B">
        <w:rPr>
          <w:color w:val="000000" w:themeColor="text1"/>
        </w:rPr>
        <w:t xml:space="preserve">, </w:t>
      </w:r>
      <w:r w:rsidRPr="0082393B">
        <w:rPr>
          <w:i/>
          <w:iCs/>
          <w:color w:val="000000" w:themeColor="text1"/>
        </w:rPr>
        <w:t>36</w:t>
      </w:r>
      <w:r w:rsidRPr="0082393B">
        <w:rPr>
          <w:color w:val="000000" w:themeColor="text1"/>
        </w:rPr>
        <w:t>(1), 39-55. https://doi.org/10.1177/1321103X14521355</w:t>
      </w:r>
    </w:p>
    <w:p w14:paraId="3410721C" w14:textId="39B81895" w:rsidR="00E504B7" w:rsidRPr="0082393B" w:rsidRDefault="00E504B7" w:rsidP="00E504B7">
      <w:pPr>
        <w:pStyle w:val="ReferenceHanging"/>
        <w:rPr>
          <w:color w:val="000000" w:themeColor="text1"/>
        </w:rPr>
      </w:pPr>
      <w:r w:rsidRPr="0082393B">
        <w:rPr>
          <w:color w:val="000000" w:themeColor="text1"/>
        </w:rPr>
        <w:t xml:space="preserve">O’Leary, S., &amp; Moloney, M. (2020). Understanding the experiences of young children on the autism spectrum as they navigate the Irish early years’ education system: Valuing voices in child-centered narratives. </w:t>
      </w:r>
      <w:r w:rsidRPr="0082393B">
        <w:rPr>
          <w:i/>
          <w:iCs/>
          <w:color w:val="000000" w:themeColor="text1"/>
        </w:rPr>
        <w:t>International Journal of Qualitative Methods</w:t>
      </w:r>
      <w:r w:rsidRPr="0082393B">
        <w:rPr>
          <w:color w:val="000000" w:themeColor="text1"/>
        </w:rPr>
        <w:t xml:space="preserve">, </w:t>
      </w:r>
      <w:r w:rsidRPr="0082393B">
        <w:rPr>
          <w:i/>
          <w:iCs/>
          <w:color w:val="000000" w:themeColor="text1"/>
        </w:rPr>
        <w:t>19</w:t>
      </w:r>
      <w:r w:rsidRPr="0082393B">
        <w:rPr>
          <w:color w:val="000000" w:themeColor="text1"/>
        </w:rPr>
        <w:t xml:space="preserve">, 1-11. </w:t>
      </w:r>
      <w:r w:rsidRPr="0082393B">
        <w:rPr>
          <w:rFonts w:eastAsiaTheme="minorHAnsi"/>
          <w:color w:val="000000" w:themeColor="text1"/>
          <w:kern w:val="2"/>
          <w14:ligatures w14:val="standardContextual"/>
        </w:rPr>
        <w:t>https://doi.org/10.1177/1609406920914696</w:t>
      </w:r>
    </w:p>
    <w:p w14:paraId="6CFD3ED8" w14:textId="3A69FD88" w:rsidR="001F0556" w:rsidRDefault="001F0556" w:rsidP="001F0556">
      <w:pPr>
        <w:pStyle w:val="ReferenceHanging"/>
        <w:rPr>
          <w:color w:val="000000" w:themeColor="text1"/>
        </w:rPr>
      </w:pPr>
      <w:r w:rsidRPr="00F253A4">
        <w:rPr>
          <w:color w:val="000000" w:themeColor="text1"/>
        </w:rPr>
        <w:t>Parekh, G., Underwood, K., &amp; Atwal, A. (202</w:t>
      </w:r>
      <w:r>
        <w:rPr>
          <w:color w:val="000000" w:themeColor="text1"/>
        </w:rPr>
        <w:t>1</w:t>
      </w:r>
      <w:r w:rsidRPr="00F253A4">
        <w:rPr>
          <w:color w:val="000000" w:themeColor="text1"/>
        </w:rPr>
        <w:t xml:space="preserve">). Ethical considerations for doing research with, and in relation to, disabled children. In Grace Spencer (Ed.), </w:t>
      </w:r>
      <w:r w:rsidRPr="00F253A4">
        <w:rPr>
          <w:i/>
          <w:iCs/>
          <w:color w:val="000000" w:themeColor="text1"/>
        </w:rPr>
        <w:t>Ethics and Integrity in Research with Children and Younge People</w:t>
      </w:r>
      <w:r w:rsidRPr="00F253A4">
        <w:rPr>
          <w:color w:val="000000" w:themeColor="text1"/>
        </w:rPr>
        <w:t xml:space="preserve">. Emerald Publishing Ltd. </w:t>
      </w:r>
    </w:p>
    <w:p w14:paraId="262AA7AE" w14:textId="6D659475" w:rsidR="00D84BD4" w:rsidRPr="0082393B" w:rsidRDefault="00D84BD4" w:rsidP="00D84BD4">
      <w:pPr>
        <w:pStyle w:val="NormalWeb"/>
        <w:spacing w:before="0" w:beforeAutospacing="0" w:after="240" w:afterAutospacing="0"/>
        <w:ind w:left="720" w:hanging="720"/>
        <w:rPr>
          <w:color w:val="000000" w:themeColor="text1"/>
        </w:rPr>
      </w:pPr>
      <w:r w:rsidRPr="0082393B">
        <w:rPr>
          <w:color w:val="000000" w:themeColor="text1"/>
          <w:shd w:val="clear" w:color="auto" w:fill="FFFFFF"/>
        </w:rPr>
        <w:t xml:space="preserve">Parker, E. C. &amp; Draves, T. J. (2017) A narrative of two preservice music teachers with visual impairments. </w:t>
      </w:r>
      <w:r w:rsidRPr="0082393B">
        <w:rPr>
          <w:i/>
          <w:iCs/>
          <w:color w:val="000000" w:themeColor="text1"/>
          <w:shd w:val="clear" w:color="auto" w:fill="FFFFFF"/>
        </w:rPr>
        <w:t>Journal of Research in Music Education</w:t>
      </w:r>
      <w:r w:rsidRPr="0082393B">
        <w:rPr>
          <w:color w:val="000000" w:themeColor="text1"/>
          <w:shd w:val="clear" w:color="auto" w:fill="FFFFFF"/>
        </w:rPr>
        <w:t xml:space="preserve">, </w:t>
      </w:r>
      <w:r w:rsidRPr="0082393B">
        <w:rPr>
          <w:i/>
          <w:iCs/>
          <w:color w:val="000000" w:themeColor="text1"/>
          <w:shd w:val="clear" w:color="auto" w:fill="FFFFFF"/>
        </w:rPr>
        <w:t>64</w:t>
      </w:r>
      <w:r w:rsidRPr="0082393B">
        <w:rPr>
          <w:color w:val="000000" w:themeColor="text1"/>
          <w:shd w:val="clear" w:color="auto" w:fill="FFFFFF"/>
        </w:rPr>
        <w:t>(4), 385-404. https://doi.org/10.1177/0022429416674704</w:t>
      </w:r>
    </w:p>
    <w:p w14:paraId="2EE513C3" w14:textId="77777777" w:rsidR="00D84BD4" w:rsidRPr="0082393B" w:rsidRDefault="00D84BD4" w:rsidP="00D84BD4">
      <w:pPr>
        <w:pStyle w:val="NormalWeb"/>
        <w:spacing w:before="0" w:beforeAutospacing="0" w:after="240" w:afterAutospacing="0"/>
        <w:ind w:left="720" w:hanging="720"/>
        <w:rPr>
          <w:color w:val="000000" w:themeColor="text1"/>
          <w:shd w:val="clear" w:color="auto" w:fill="FFFFFF"/>
        </w:rPr>
      </w:pPr>
      <w:r w:rsidRPr="0082393B">
        <w:rPr>
          <w:color w:val="000000" w:themeColor="text1"/>
          <w:shd w:val="clear" w:color="auto" w:fill="FFFFFF"/>
        </w:rPr>
        <w:t xml:space="preserve">Pino Gavidia, L. A., &amp; Adu, J. (2022). Critical narrative inquiry: An examination of a methodological approach. </w:t>
      </w:r>
      <w:r w:rsidRPr="0082393B">
        <w:rPr>
          <w:i/>
          <w:iCs/>
          <w:color w:val="000000" w:themeColor="text1"/>
          <w:shd w:val="clear" w:color="auto" w:fill="FFFFFF"/>
        </w:rPr>
        <w:t>International Journal of Qualitative Methods</w:t>
      </w:r>
      <w:r w:rsidRPr="0082393B">
        <w:rPr>
          <w:color w:val="000000" w:themeColor="text1"/>
          <w:shd w:val="clear" w:color="auto" w:fill="FFFFFF"/>
        </w:rPr>
        <w:t xml:space="preserve">, </w:t>
      </w:r>
      <w:r w:rsidRPr="0082393B">
        <w:rPr>
          <w:i/>
          <w:iCs/>
          <w:color w:val="000000" w:themeColor="text1"/>
          <w:shd w:val="clear" w:color="auto" w:fill="FFFFFF"/>
        </w:rPr>
        <w:t>21</w:t>
      </w:r>
      <w:r w:rsidRPr="0082393B">
        <w:rPr>
          <w:color w:val="000000" w:themeColor="text1"/>
          <w:shd w:val="clear" w:color="auto" w:fill="FFFFFF"/>
        </w:rPr>
        <w:t>, 1-5. https://doi.org/10.1177/16094069221081594</w:t>
      </w:r>
    </w:p>
    <w:p w14:paraId="5303A292" w14:textId="31B91567" w:rsidR="006574E2" w:rsidRPr="006574E2" w:rsidRDefault="006574E2" w:rsidP="00D84BD4">
      <w:pPr>
        <w:pStyle w:val="NormalWeb"/>
        <w:spacing w:before="0" w:beforeAutospacing="0" w:after="240" w:afterAutospacing="0"/>
        <w:ind w:left="720" w:hanging="720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lastRenderedPageBreak/>
        <w:t xml:space="preserve">Sandahl, C. (2019). The difference disability makes: Unique considerations in casting performers with disabilities, In C. Syler &amp; D. Banks (Eds.) </w:t>
      </w:r>
      <w:r>
        <w:rPr>
          <w:i/>
          <w:iCs/>
          <w:color w:val="000000" w:themeColor="text1"/>
          <w:shd w:val="clear" w:color="auto" w:fill="FFFFFF"/>
        </w:rPr>
        <w:t>Casting a movement: The welcome table initiative</w:t>
      </w:r>
      <w:r>
        <w:rPr>
          <w:color w:val="000000" w:themeColor="text1"/>
          <w:shd w:val="clear" w:color="auto" w:fill="FFFFFF"/>
        </w:rPr>
        <w:t>. Routledge. https://doi.org/10.4324/9780429488221</w:t>
      </w:r>
    </w:p>
    <w:p w14:paraId="5F672987" w14:textId="54D6E45D" w:rsidR="00D84BD4" w:rsidRPr="0082393B" w:rsidRDefault="00D84BD4" w:rsidP="00D84BD4">
      <w:pPr>
        <w:pStyle w:val="NormalWeb"/>
        <w:spacing w:before="0" w:beforeAutospacing="0" w:after="240" w:afterAutospacing="0"/>
        <w:ind w:left="720" w:hanging="720"/>
        <w:rPr>
          <w:color w:val="000000" w:themeColor="text1"/>
          <w:shd w:val="clear" w:color="auto" w:fill="FFFFFF"/>
        </w:rPr>
      </w:pPr>
      <w:r w:rsidRPr="0082393B">
        <w:rPr>
          <w:color w:val="000000" w:themeColor="text1"/>
          <w:shd w:val="clear" w:color="auto" w:fill="FFFFFF"/>
        </w:rPr>
        <w:t>Thompson-Ebanks, V., &amp; Jarman, M. (2017). Undergraduate students with nonapparent disabilities identify factors that contribute to disclosure decisions. </w:t>
      </w:r>
      <w:r w:rsidRPr="0082393B">
        <w:rPr>
          <w:i/>
          <w:iCs/>
          <w:color w:val="000000" w:themeColor="text1"/>
          <w:shd w:val="clear" w:color="auto" w:fill="FFFFFF"/>
        </w:rPr>
        <w:t>International Journal of Disability, Development and Education</w:t>
      </w:r>
      <w:r w:rsidRPr="0082393B">
        <w:rPr>
          <w:color w:val="000000" w:themeColor="text1"/>
          <w:shd w:val="clear" w:color="auto" w:fill="FFFFFF"/>
        </w:rPr>
        <w:t>, </w:t>
      </w:r>
      <w:r w:rsidRPr="0082393B">
        <w:rPr>
          <w:i/>
          <w:iCs/>
          <w:color w:val="000000" w:themeColor="text1"/>
          <w:shd w:val="clear" w:color="auto" w:fill="FFFFFF"/>
        </w:rPr>
        <w:t>65</w:t>
      </w:r>
      <w:r w:rsidRPr="0082393B">
        <w:rPr>
          <w:color w:val="000000" w:themeColor="text1"/>
          <w:shd w:val="clear" w:color="auto" w:fill="FFFFFF"/>
        </w:rPr>
        <w:t>(3), 286–303. https://doi.org/10.1080/1034912X.2017.1380174</w:t>
      </w:r>
    </w:p>
    <w:p w14:paraId="621D5D0A" w14:textId="634A480A" w:rsidR="001B1901" w:rsidRPr="0082393B" w:rsidRDefault="001B1901" w:rsidP="00D84BD4">
      <w:pPr>
        <w:pStyle w:val="NormalWeb"/>
        <w:spacing w:before="0" w:beforeAutospacing="0" w:after="240" w:afterAutospacing="0"/>
        <w:ind w:left="720" w:hanging="720"/>
        <w:rPr>
          <w:color w:val="000000" w:themeColor="text1"/>
          <w:shd w:val="clear" w:color="auto" w:fill="FFFFFF"/>
        </w:rPr>
      </w:pPr>
      <w:r w:rsidRPr="0082393B">
        <w:rPr>
          <w:color w:val="000000" w:themeColor="text1"/>
          <w:shd w:val="clear" w:color="auto" w:fill="FFFFFF"/>
        </w:rPr>
        <w:t xml:space="preserve">Thompson, G., de Bruin, L., </w:t>
      </w:r>
      <w:proofErr w:type="spellStart"/>
      <w:r w:rsidRPr="0082393B">
        <w:rPr>
          <w:color w:val="000000" w:themeColor="text1"/>
          <w:shd w:val="clear" w:color="auto" w:fill="FFFFFF"/>
        </w:rPr>
        <w:t>Subiantoro</w:t>
      </w:r>
      <w:proofErr w:type="spellEnd"/>
      <w:r w:rsidRPr="0082393B">
        <w:rPr>
          <w:color w:val="000000" w:themeColor="text1"/>
          <w:shd w:val="clear" w:color="auto" w:fill="FFFFFF"/>
        </w:rPr>
        <w:t xml:space="preserve">, M., &amp; Skinner, A. (2024). Hidden diversity in the conservatoire: A qualitative enquiry </w:t>
      </w:r>
      <w:proofErr w:type="spellStart"/>
      <w:r w:rsidRPr="0082393B">
        <w:rPr>
          <w:color w:val="000000" w:themeColor="text1"/>
          <w:shd w:val="clear" w:color="auto" w:fill="FFFFFF"/>
        </w:rPr>
        <w:t>inot</w:t>
      </w:r>
      <w:proofErr w:type="spellEnd"/>
      <w:r w:rsidRPr="0082393B">
        <w:rPr>
          <w:color w:val="000000" w:themeColor="text1"/>
          <w:shd w:val="clear" w:color="auto" w:fill="FFFFFF"/>
        </w:rPr>
        <w:t xml:space="preserve"> the experiences of higher education music students with disability. </w:t>
      </w:r>
      <w:r w:rsidRPr="0082393B">
        <w:rPr>
          <w:i/>
          <w:iCs/>
          <w:color w:val="000000" w:themeColor="text1"/>
          <w:shd w:val="clear" w:color="auto" w:fill="FFFFFF"/>
        </w:rPr>
        <w:t>International Journal of Music Education</w:t>
      </w:r>
      <w:r w:rsidRPr="0082393B">
        <w:rPr>
          <w:color w:val="000000" w:themeColor="text1"/>
          <w:shd w:val="clear" w:color="auto" w:fill="FFFFFF"/>
        </w:rPr>
        <w:t xml:space="preserve">, </w:t>
      </w:r>
      <w:r w:rsidRPr="0082393B">
        <w:rPr>
          <w:i/>
          <w:iCs/>
          <w:color w:val="000000" w:themeColor="text1"/>
          <w:shd w:val="clear" w:color="auto" w:fill="FFFFFF"/>
        </w:rPr>
        <w:t>0</w:t>
      </w:r>
      <w:r w:rsidRPr="0082393B">
        <w:rPr>
          <w:color w:val="000000" w:themeColor="text1"/>
          <w:shd w:val="clear" w:color="auto" w:fill="FFFFFF"/>
        </w:rPr>
        <w:t>(0), 1-14. https://doi./10.1177/02557614241237235</w:t>
      </w:r>
    </w:p>
    <w:p w14:paraId="0C4D43A4" w14:textId="77777777" w:rsidR="009F2D37" w:rsidRPr="0082393B" w:rsidRDefault="009F2D37" w:rsidP="009F2D37">
      <w:pPr>
        <w:pStyle w:val="ReferenceHanging"/>
        <w:rPr>
          <w:color w:val="000000" w:themeColor="text1"/>
        </w:rPr>
      </w:pPr>
      <w:r w:rsidRPr="0082393B">
        <w:rPr>
          <w:color w:val="000000" w:themeColor="text1"/>
        </w:rPr>
        <w:t xml:space="preserve">Vaughn, L. M., &amp; Jacquez, F. (2020). Participatory research methods – choice points in the research process. </w:t>
      </w:r>
      <w:r w:rsidRPr="0082393B">
        <w:rPr>
          <w:i/>
          <w:iCs/>
          <w:color w:val="000000" w:themeColor="text1"/>
        </w:rPr>
        <w:t>Journal of Participatory Research Methods</w:t>
      </w:r>
      <w:r w:rsidRPr="0082393B">
        <w:rPr>
          <w:color w:val="000000" w:themeColor="text1"/>
        </w:rPr>
        <w:t xml:space="preserve">, </w:t>
      </w:r>
      <w:r w:rsidRPr="0082393B">
        <w:rPr>
          <w:i/>
          <w:iCs/>
          <w:color w:val="000000" w:themeColor="text1"/>
        </w:rPr>
        <w:t>1</w:t>
      </w:r>
      <w:r w:rsidRPr="0082393B">
        <w:rPr>
          <w:color w:val="000000" w:themeColor="text1"/>
        </w:rPr>
        <w:t xml:space="preserve">(1), 1-13. https://doi.org//10.35844/001c.13244 </w:t>
      </w:r>
    </w:p>
    <w:p w14:paraId="7FEDD6A8" w14:textId="0C84B3D9" w:rsidR="00D84BD4" w:rsidRPr="00EE602D" w:rsidRDefault="00EE602D" w:rsidP="00D84BD4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Young, S. (2014, June 9</w:t>
      </w:r>
      <w:r w:rsidRPr="00EE602D">
        <w:rPr>
          <w:rFonts w:ascii="Times New Roman" w:hAnsi="Times New Roman" w:cs="Times New Roman"/>
          <w:color w:val="000000" w:themeColor="text1"/>
          <w:vertAlign w:val="superscript"/>
        </w:rPr>
        <w:t>th</w:t>
      </w:r>
      <w:r>
        <w:rPr>
          <w:rFonts w:ascii="Times New Roman" w:hAnsi="Times New Roman" w:cs="Times New Roman"/>
          <w:color w:val="000000" w:themeColor="text1"/>
        </w:rPr>
        <w:t xml:space="preserve">). </w:t>
      </w:r>
      <w:r>
        <w:rPr>
          <w:rFonts w:ascii="Times New Roman" w:hAnsi="Times New Roman" w:cs="Times New Roman"/>
          <w:i/>
          <w:iCs/>
          <w:color w:val="000000" w:themeColor="text1"/>
        </w:rPr>
        <w:t>I’m not your inspirations, thank you very much</w:t>
      </w:r>
      <w:r>
        <w:rPr>
          <w:rFonts w:ascii="Times New Roman" w:hAnsi="Times New Roman" w:cs="Times New Roman"/>
          <w:color w:val="000000" w:themeColor="text1"/>
        </w:rPr>
        <w:t xml:space="preserve">. [Video]. YouTube. </w:t>
      </w:r>
      <w:r w:rsidRPr="00EE602D">
        <w:rPr>
          <w:rFonts w:ascii="Times New Roman" w:hAnsi="Times New Roman" w:cs="Times New Roman"/>
          <w:color w:val="000000" w:themeColor="text1"/>
        </w:rPr>
        <w:t>https://www.youtube.com/watch?v=8K9Gg164Bsw&amp;t=4s</w:t>
      </w:r>
    </w:p>
    <w:p w14:paraId="30DB3ACD" w14:textId="77777777" w:rsidR="00DD1BA7" w:rsidRPr="0082393B" w:rsidRDefault="00DD1BA7" w:rsidP="00DD1BA7">
      <w:pPr>
        <w:rPr>
          <w:rFonts w:ascii="Times New Roman" w:hAnsi="Times New Roman" w:cs="Times New Roman"/>
          <w:color w:val="000000" w:themeColor="text1"/>
        </w:rPr>
      </w:pPr>
    </w:p>
    <w:p w14:paraId="2AE9BC2F" w14:textId="1A1DE39F" w:rsidR="00550882" w:rsidRPr="0082393B" w:rsidRDefault="00550882" w:rsidP="00550882">
      <w:pPr>
        <w:rPr>
          <w:rFonts w:ascii="Times New Roman" w:hAnsi="Times New Roman" w:cs="Times New Roman"/>
          <w:color w:val="000000" w:themeColor="text1"/>
        </w:rPr>
      </w:pPr>
    </w:p>
    <w:sectPr w:rsidR="00550882" w:rsidRPr="008239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882"/>
    <w:rsid w:val="00006697"/>
    <w:rsid w:val="000B7560"/>
    <w:rsid w:val="00196FD7"/>
    <w:rsid w:val="001B1901"/>
    <w:rsid w:val="001F0556"/>
    <w:rsid w:val="002254A6"/>
    <w:rsid w:val="00337487"/>
    <w:rsid w:val="00405AFF"/>
    <w:rsid w:val="004B2753"/>
    <w:rsid w:val="004F03D0"/>
    <w:rsid w:val="005211C8"/>
    <w:rsid w:val="0054117F"/>
    <w:rsid w:val="00550882"/>
    <w:rsid w:val="00582A07"/>
    <w:rsid w:val="005C0652"/>
    <w:rsid w:val="0065641E"/>
    <w:rsid w:val="006574E2"/>
    <w:rsid w:val="006A4198"/>
    <w:rsid w:val="00724DDB"/>
    <w:rsid w:val="00784E36"/>
    <w:rsid w:val="007C333E"/>
    <w:rsid w:val="0082393B"/>
    <w:rsid w:val="00895A12"/>
    <w:rsid w:val="0090797F"/>
    <w:rsid w:val="009155E1"/>
    <w:rsid w:val="009F2D37"/>
    <w:rsid w:val="00B46C27"/>
    <w:rsid w:val="00B6105D"/>
    <w:rsid w:val="00B83531"/>
    <w:rsid w:val="00BA1B6C"/>
    <w:rsid w:val="00C35196"/>
    <w:rsid w:val="00C40C93"/>
    <w:rsid w:val="00CE6B92"/>
    <w:rsid w:val="00D1119E"/>
    <w:rsid w:val="00D55311"/>
    <w:rsid w:val="00D627EC"/>
    <w:rsid w:val="00D6545B"/>
    <w:rsid w:val="00D84BD4"/>
    <w:rsid w:val="00D97ACC"/>
    <w:rsid w:val="00DD1BA7"/>
    <w:rsid w:val="00E12F21"/>
    <w:rsid w:val="00E504B7"/>
    <w:rsid w:val="00EA0447"/>
    <w:rsid w:val="00EE602D"/>
    <w:rsid w:val="00F2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F365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08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8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8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8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8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8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8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8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8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8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8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8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8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8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8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8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8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8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08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08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8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08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08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08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08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08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8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8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0882"/>
    <w:rPr>
      <w:b/>
      <w:bCs/>
      <w:smallCaps/>
      <w:color w:val="0F4761" w:themeColor="accent1" w:themeShade="BF"/>
      <w:spacing w:val="5"/>
    </w:rPr>
  </w:style>
  <w:style w:type="paragraph" w:customStyle="1" w:styleId="ReferenceHanging">
    <w:name w:val="Reference Hanging"/>
    <w:basedOn w:val="Normal"/>
    <w:qFormat/>
    <w:rsid w:val="00D84BD4"/>
    <w:pPr>
      <w:spacing w:after="240" w:line="240" w:lineRule="auto"/>
      <w:ind w:left="720" w:hanging="720"/>
    </w:pPr>
    <w:rPr>
      <w:rFonts w:ascii="Times New Roman" w:eastAsia="Times New Roman" w:hAnsi="Times New Roman" w:cs="Times New Roman"/>
      <w:color w:val="333333"/>
      <w:kern w:val="0"/>
      <w:shd w:val="clear" w:color="auto" w:fill="FFFFFF"/>
      <w14:ligatures w14:val="none"/>
    </w:rPr>
  </w:style>
  <w:style w:type="paragraph" w:styleId="NormalWeb">
    <w:name w:val="Normal (Web)"/>
    <w:basedOn w:val="Normal"/>
    <w:uiPriority w:val="99"/>
    <w:unhideWhenUsed/>
    <w:rsid w:val="00D84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nchor-text">
    <w:name w:val="anchor-text"/>
    <w:basedOn w:val="DefaultParagraphFont"/>
    <w:rsid w:val="00D84BD4"/>
  </w:style>
  <w:style w:type="character" w:styleId="Hyperlink">
    <w:name w:val="Hyperlink"/>
    <w:basedOn w:val="DefaultParagraphFont"/>
    <w:uiPriority w:val="99"/>
    <w:unhideWhenUsed/>
    <w:rsid w:val="00895A1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5A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4</Pages>
  <Words>1192</Words>
  <Characters>6795</Characters>
  <Application>Microsoft Office Word</Application>
  <DocSecurity>0</DocSecurity>
  <Lines>56</Lines>
  <Paragraphs>15</Paragraphs>
  <ScaleCrop>false</ScaleCrop>
  <Company/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32</cp:revision>
  <dcterms:created xsi:type="dcterms:W3CDTF">2025-06-13T15:01:00Z</dcterms:created>
  <dcterms:modified xsi:type="dcterms:W3CDTF">2025-09-25T17:26:00Z</dcterms:modified>
</cp:coreProperties>
</file>